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BDFA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BANCA NAŢIONALĂ A MOLDOVEI</w:t>
      </w:r>
    </w:p>
    <w:p w14:paraId="25360520" w14:textId="5EAE5835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46F6648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H O T Ă R Â R E</w:t>
      </w:r>
    </w:p>
    <w:p w14:paraId="60B3A0D6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pentru modificarea Regulamentului cu privire la expunerile</w:t>
      </w:r>
    </w:p>
    <w:p w14:paraId="662E12EC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mari, aprobat prin Hotărârea Comitetului executiv al</w:t>
      </w:r>
    </w:p>
    <w:p w14:paraId="1098D821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Băncii </w:t>
      </w:r>
      <w:proofErr w:type="spellStart"/>
      <w:r w:rsidRPr="00CE56EE">
        <w:rPr>
          <w:rFonts w:ascii="Times New Roman" w:hAnsi="Times New Roman" w:cs="Times New Roman"/>
          <w:b/>
          <w:bCs/>
          <w:sz w:val="22"/>
          <w:szCs w:val="22"/>
        </w:rPr>
        <w:t>Naţionale</w:t>
      </w:r>
      <w:proofErr w:type="spellEnd"/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 a Moldovei nr. 109/2019</w:t>
      </w:r>
    </w:p>
    <w:p w14:paraId="52A82F25" w14:textId="617AC185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259162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nr. 177  din  31.07.2025</w:t>
      </w:r>
    </w:p>
    <w:p w14:paraId="51472881" w14:textId="7C61C303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i/>
          <w:iCs/>
          <w:sz w:val="22"/>
          <w:szCs w:val="22"/>
        </w:rPr>
        <w:t>(în vigoare 06.11.2025)</w:t>
      </w:r>
    </w:p>
    <w:p w14:paraId="31E9B6C7" w14:textId="4D8336CF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E15C8EE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>Monitorul Oficial al R. Moldova nr. 417-419 art. 677 din 06.08.2025</w:t>
      </w:r>
    </w:p>
    <w:p w14:paraId="54CA4E17" w14:textId="3DDA929E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022BD77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>* * *</w:t>
      </w:r>
    </w:p>
    <w:p w14:paraId="7FCB7AC2" w14:textId="77777777" w:rsidR="00080F4C" w:rsidRPr="00CE56EE" w:rsidRDefault="00080F4C" w:rsidP="00080F4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UE</w:t>
      </w:r>
    </w:p>
    <w:p w14:paraId="3C31607C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În temeiul art.74 din Legea nr.202/2017 privind activitatea băncilor (Monitorul Oficial al Republicii Moldova, 2017, nr.434-439, art.727), cu modificările ulterioare, Comitetul executiv al Băncii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Naţionale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 Moldovei</w:t>
      </w:r>
    </w:p>
    <w:p w14:paraId="4D4F4033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HOTĂRĂŞTE:</w:t>
      </w:r>
    </w:p>
    <w:p w14:paraId="745EC57B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Prezenta Hotărâre transpune Regulamentul delegat (UE) 2022/1011 al Comisiei din 10 martie 2022 de completare a Regulamentului (UE) nr.575/2013 al Parlamentului European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al Consiliului în ceea ce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priveşte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standardele tehnice de reglementare care precizează modul de determinare a expunerilor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un client care provin din contracte derivate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contracte derivate de credit, atunci când contractele nu sunt încheiate direct cu respectivul client, dar instrumentul de datorie sau de capital suport a fost emis de clientul respectiv, publicat în Jurnalul Oficial al Uniunii Europene seria L 170 din 28 iunie 2022, CELEX 32022R1011.</w:t>
      </w:r>
    </w:p>
    <w:p w14:paraId="72CB0188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CE56EE">
        <w:rPr>
          <w:rFonts w:ascii="Times New Roman" w:hAnsi="Times New Roman" w:cs="Times New Roman"/>
          <w:sz w:val="22"/>
          <w:szCs w:val="22"/>
        </w:rPr>
        <w:t xml:space="preserve"> Regulamentul cu privire la expunerile mari, aprobat prin Hotărârea Comitetului executiv al Băncii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Naţionale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 Moldovei nr.109/2019 (Monitorul Oficial al Republicii Moldova, 2019, nr.139-147, art.704), înregistrată la Ministerul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Justiţiei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al Republicii Moldova cu nr.1437/2019, se modifică după cum urmează:</w:t>
      </w:r>
    </w:p>
    <w:p w14:paraId="7106B65D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1.1</w:t>
      </w:r>
      <w:r w:rsidRPr="00CE56EE">
        <w:rPr>
          <w:rFonts w:ascii="Times New Roman" w:hAnsi="Times New Roman" w:cs="Times New Roman"/>
          <w:sz w:val="22"/>
          <w:szCs w:val="22"/>
        </w:rPr>
        <w:t xml:space="preserve"> clauza de armonizare se completează cu textul:</w:t>
      </w:r>
    </w:p>
    <w:p w14:paraId="298F06A5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"– transpune Regulamentul delegat (UE) 2022/1011 al Comisiei din 10 martie 2022 de completare a Regulamentului (UE) nr.575/2013 al Parlamentului European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al Consiliului în ceea ce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priveşte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standardele tehnice de reglementare care precizează modul de determinare a expunerilor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un client care provin din contracte derivate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contracte derivate de credit, atunci când contractele nu sunt încheiate direct cu respectivul client, dar instrumentul de datorie sau de capital suport a fost emis de clientul respectiv, publicat în Jurnalul Oficial al Uniunii Europene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nr.L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170 din 28 iunie 2022,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nr.CELEX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: 32022R1011.";</w:t>
      </w:r>
    </w:p>
    <w:p w14:paraId="6EFEC154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1.2</w:t>
      </w:r>
      <w:r w:rsidRPr="00CE56EE">
        <w:rPr>
          <w:rFonts w:ascii="Times New Roman" w:hAnsi="Times New Roman" w:cs="Times New Roman"/>
          <w:sz w:val="22"/>
          <w:szCs w:val="22"/>
        </w:rPr>
        <w:t xml:space="preserve"> la punctul 6 subpunctul 2) cuvântul "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operaţiunilor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" se substituie cu cuvântul "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tranzacţiilor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", iar după cuvintele "cumpărare de titluri" se completează cu cuvintele "de valoare";</w:t>
      </w:r>
    </w:p>
    <w:p w14:paraId="3E4BA81B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1.3</w:t>
      </w:r>
      <w:r w:rsidRPr="00CE56EE">
        <w:rPr>
          <w:rFonts w:ascii="Times New Roman" w:hAnsi="Times New Roman" w:cs="Times New Roman"/>
          <w:sz w:val="22"/>
          <w:szCs w:val="22"/>
        </w:rPr>
        <w:t xml:space="preserve"> se completează cu punctul 14</w:t>
      </w:r>
      <w:r w:rsidRPr="00CE56EE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CE56EE">
        <w:rPr>
          <w:rFonts w:ascii="Times New Roman" w:hAnsi="Times New Roman" w:cs="Times New Roman"/>
          <w:sz w:val="22"/>
          <w:szCs w:val="22"/>
        </w:rPr>
        <w:t xml:space="preserve"> cu următorul cuprins:</w:t>
      </w:r>
    </w:p>
    <w:p w14:paraId="777CDF8F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>"</w:t>
      </w:r>
      <w:r w:rsidRPr="00CE56EE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Pr="00CE56E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2</w:t>
      </w:r>
      <w:r w:rsidRPr="00CE56E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CE56EE">
        <w:rPr>
          <w:rFonts w:ascii="Times New Roman" w:hAnsi="Times New Roman" w:cs="Times New Roman"/>
          <w:sz w:val="22"/>
          <w:szCs w:val="22"/>
        </w:rPr>
        <w:t xml:space="preserve"> Băncile calculează valoarea expunerii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un client care provine din contractele derivate enumerate în anexa nr.1 la Regulamentul nr.114/2018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din contractele derivate de credit, atunci când contractele derivate nu sunt încheiate direct cu respectivul client, dar instrumentul de datorie sau de capital suport a fost emis de clientul respectiv, în conformitate cu metodologia prevăzută în anexa nr.1</w:t>
      </w:r>
      <w:r w:rsidRPr="00CE56EE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E56EE">
        <w:rPr>
          <w:rFonts w:ascii="Times New Roman" w:hAnsi="Times New Roman" w:cs="Times New Roman"/>
          <w:sz w:val="22"/>
          <w:szCs w:val="22"/>
        </w:rPr>
        <w:t>.";</w:t>
      </w:r>
    </w:p>
    <w:p w14:paraId="0C99634B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1.4</w:t>
      </w:r>
      <w:r w:rsidRPr="00CE56EE">
        <w:rPr>
          <w:rFonts w:ascii="Times New Roman" w:hAnsi="Times New Roman" w:cs="Times New Roman"/>
          <w:sz w:val="22"/>
          <w:szCs w:val="22"/>
        </w:rPr>
        <w:t xml:space="preserve"> la punctul 19 în ultima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propoziţie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, după cuvintele "expunerea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" se completează cu cuvântul "de";</w:t>
      </w:r>
    </w:p>
    <w:p w14:paraId="7382EEEA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1.5</w:t>
      </w:r>
      <w:r w:rsidRPr="00CE56EE">
        <w:rPr>
          <w:rFonts w:ascii="Times New Roman" w:hAnsi="Times New Roman" w:cs="Times New Roman"/>
          <w:sz w:val="22"/>
          <w:szCs w:val="22"/>
        </w:rPr>
        <w:t xml:space="preserve"> la punctul 36:</w:t>
      </w:r>
    </w:p>
    <w:p w14:paraId="01146978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>1.5.1 în alineatul introductiv cuvântul "punctului" se substituie cu cuvântul "punctelor";</w:t>
      </w:r>
    </w:p>
    <w:p w14:paraId="071EC7C9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1.5.2 în subpunctul 9) textul "Legea nr.575/2003 privind garantarea depozitelor persoanelor fizice în sistemul bancar (Monitorul Oficial al Republicii Moldova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Moldova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, 30–34/169, 20.02.2004)," se substituie cu textul "Legea nr.160/2023 cu privire la garantarea depozitelor în bănci";</w:t>
      </w:r>
    </w:p>
    <w:p w14:paraId="42E31D6C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1.6</w:t>
      </w:r>
      <w:r w:rsidRPr="00CE56EE">
        <w:rPr>
          <w:rFonts w:ascii="Times New Roman" w:hAnsi="Times New Roman" w:cs="Times New Roman"/>
          <w:sz w:val="22"/>
          <w:szCs w:val="22"/>
        </w:rPr>
        <w:t xml:space="preserve"> la punctul 42 în subpunctele 1)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2) cuvântul "înregistrată" se substituie cu cuvintele "o expunere";</w:t>
      </w:r>
    </w:p>
    <w:p w14:paraId="1DEC8E71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1.7</w:t>
      </w:r>
      <w:r w:rsidRPr="00CE56EE">
        <w:rPr>
          <w:rFonts w:ascii="Times New Roman" w:hAnsi="Times New Roman" w:cs="Times New Roman"/>
          <w:sz w:val="22"/>
          <w:szCs w:val="22"/>
        </w:rPr>
        <w:t xml:space="preserve"> în anexa nr.1, la punctul 6 subpunctul 1) cuvântul "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instituţiei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" se substituie cu cuvântul "băncii";</w:t>
      </w:r>
    </w:p>
    <w:p w14:paraId="17214AE3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1.8</w:t>
      </w:r>
      <w:r w:rsidRPr="00CE56EE">
        <w:rPr>
          <w:rFonts w:ascii="Times New Roman" w:hAnsi="Times New Roman" w:cs="Times New Roman"/>
          <w:sz w:val="22"/>
          <w:szCs w:val="22"/>
        </w:rPr>
        <w:t xml:space="preserve"> se completează cu anexa nr.1</w:t>
      </w:r>
      <w:r w:rsidRPr="00CE56EE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E56EE">
        <w:rPr>
          <w:rFonts w:ascii="Times New Roman" w:hAnsi="Times New Roman" w:cs="Times New Roman"/>
          <w:sz w:val="22"/>
          <w:szCs w:val="22"/>
        </w:rPr>
        <w:t xml:space="preserve"> cu următorul cuprins:</w:t>
      </w:r>
    </w:p>
    <w:p w14:paraId="7342A507" w14:textId="05379510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1D51F7A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B22C489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EC1F115" w14:textId="77777777" w:rsidR="00080F4C" w:rsidRPr="00CE56EE" w:rsidRDefault="00080F4C" w:rsidP="00080F4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lastRenderedPageBreak/>
        <w:t>"Anexa nr.1</w:t>
      </w:r>
      <w:r w:rsidRPr="00CE56EE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514A9010" w14:textId="77777777" w:rsidR="00080F4C" w:rsidRPr="00CE56EE" w:rsidRDefault="00080F4C" w:rsidP="00080F4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>la Regulamentul cu privire</w:t>
      </w:r>
    </w:p>
    <w:p w14:paraId="3485A30F" w14:textId="77777777" w:rsidR="00080F4C" w:rsidRPr="00CE56EE" w:rsidRDefault="00080F4C" w:rsidP="00080F4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>la expunerile mari</w:t>
      </w:r>
    </w:p>
    <w:p w14:paraId="05CD49D9" w14:textId="405E3C3D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96C3AE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Metodologia de determinare a valorii expunerilor indirecte </w:t>
      </w:r>
      <w:proofErr w:type="spellStart"/>
      <w:r w:rsidRPr="00CE56EE">
        <w:rPr>
          <w:rFonts w:ascii="Times New Roman" w:hAnsi="Times New Roman" w:cs="Times New Roman"/>
          <w:b/>
          <w:bCs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 de</w:t>
      </w:r>
    </w:p>
    <w:p w14:paraId="45DDA661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un client care provin din contracte derivate </w:t>
      </w:r>
      <w:proofErr w:type="spellStart"/>
      <w:r w:rsidRPr="00CE56EE">
        <w:rPr>
          <w:rFonts w:ascii="Times New Roman" w:hAnsi="Times New Roman" w:cs="Times New Roman"/>
          <w:b/>
          <w:bCs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 contracte derivate</w:t>
      </w:r>
    </w:p>
    <w:p w14:paraId="6344AB9B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de credit, atunci când  contractele nu  sunt încheiate direct cu</w:t>
      </w:r>
    </w:p>
    <w:p w14:paraId="5C784760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respectivul client, dar instrumentul de datorie sau de capital</w:t>
      </w:r>
    </w:p>
    <w:p w14:paraId="0D572790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suport a fost emis de clientul respectiv</w:t>
      </w:r>
    </w:p>
    <w:p w14:paraId="63957230" w14:textId="7A39B730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4A8216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Secţiunea</w:t>
      </w:r>
      <w:proofErr w:type="spellEnd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1</w:t>
      </w:r>
    </w:p>
    <w:p w14:paraId="006D805B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Alocarea expunerilor indirecte pe categorii</w:t>
      </w:r>
    </w:p>
    <w:p w14:paraId="03E1C801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 contracte derivate</w:t>
      </w:r>
    </w:p>
    <w:p w14:paraId="07C27089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CE56EE">
        <w:rPr>
          <w:rFonts w:ascii="Times New Roman" w:hAnsi="Times New Roman" w:cs="Times New Roman"/>
          <w:sz w:val="22"/>
          <w:szCs w:val="22"/>
        </w:rPr>
        <w:t xml:space="preserve"> Băncile alocă expunerile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menţionate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punctul 14</w:t>
      </w:r>
      <w:r w:rsidRPr="00CE56EE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CE56EE">
        <w:rPr>
          <w:rFonts w:ascii="Times New Roman" w:hAnsi="Times New Roman" w:cs="Times New Roman"/>
          <w:sz w:val="22"/>
          <w:szCs w:val="22"/>
        </w:rPr>
        <w:t xml:space="preserve"> din Regulamentul cu privire la expunerile mari uneia dintre următoarele categorii de contracte derivate:</w:t>
      </w:r>
    </w:p>
    <w:p w14:paraId="4963F026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1.1.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pe instrumente de datorie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capital;</w:t>
      </w:r>
    </w:p>
    <w:p w14:paraId="1A00BB1A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>1.2. contracte derivate de credit;</w:t>
      </w:r>
    </w:p>
    <w:p w14:paraId="2916A392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1.3. toate celelalte contracte derivate enumerate în anexa nr.1 la Regulamentul nr.114/2018 care au ca activ-suport un instrument de datorie sau de capital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care nu sunt incluse în categoriile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menţionate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subpunctele 1.1.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1.2.</w:t>
      </w:r>
    </w:p>
    <w:p w14:paraId="648DEAAF" w14:textId="1335B423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37122D4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Secţiunea</w:t>
      </w:r>
      <w:proofErr w:type="spellEnd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2</w:t>
      </w:r>
    </w:p>
    <w:p w14:paraId="1651DE08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Calcularea valorii expunerii indirecte pentru </w:t>
      </w:r>
      <w:proofErr w:type="spellStart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opţiunile</w:t>
      </w:r>
      <w:proofErr w:type="spellEnd"/>
    </w:p>
    <w:p w14:paraId="5DBFA987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pe instrumente</w:t>
      </w:r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 de datorie </w:t>
      </w:r>
      <w:proofErr w:type="spellStart"/>
      <w:r w:rsidRPr="00CE56EE">
        <w:rPr>
          <w:rFonts w:ascii="Times New Roman" w:hAnsi="Times New Roman" w:cs="Times New Roman"/>
          <w:b/>
          <w:bCs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 de capital</w:t>
      </w:r>
    </w:p>
    <w:p w14:paraId="1CD78AF8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CE56EE">
        <w:rPr>
          <w:rFonts w:ascii="Times New Roman" w:hAnsi="Times New Roman" w:cs="Times New Roman"/>
          <w:sz w:val="22"/>
          <w:szCs w:val="22"/>
        </w:rPr>
        <w:t xml:space="preserve"> Sub rezerva punctelor 3 - 5, băncile calculează valoarea expunerii indirecte pentru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pe instrumente de datorie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capital ca suma dintre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curentă 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cuantumul datorat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contrapărţii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ca urmare a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potenţiale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stări de nerambursare a emitentului instrumentului-suport din care se scade cuantumul datorat băncii de către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contrapartea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respectivă în cazul respectiv.</w:t>
      </w:r>
    </w:p>
    <w:p w14:paraId="13FB074A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CE56EE">
        <w:rPr>
          <w:rFonts w:ascii="Times New Roman" w:hAnsi="Times New Roman" w:cs="Times New Roman"/>
          <w:sz w:val="22"/>
          <w:szCs w:val="22"/>
        </w:rPr>
        <w:t xml:space="preserve"> Pentru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call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, valoarea expunerii indirecte este egală cu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. Pentru o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poziţie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lungă în cadrul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call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, valoarea expunerii indirecte este pozitivă, iar pentru o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poziţie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scurtă în cadrul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call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, valoarea expunerii indirecte este negativă.</w:t>
      </w:r>
    </w:p>
    <w:p w14:paraId="20536865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CE56EE">
        <w:rPr>
          <w:rFonts w:ascii="Times New Roman" w:hAnsi="Times New Roman" w:cs="Times New Roman"/>
          <w:sz w:val="22"/>
          <w:szCs w:val="22"/>
        </w:rPr>
        <w:t xml:space="preserve"> Pentru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put, valoarea expunerii indirecte este egală cu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diferenţa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dintre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preţul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său de exercitare. Pentru o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poziţie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scurtă în cadrul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put, valoarea expunerii indirecte este pozitivă, iar pentru o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poziţie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lungă în cadrul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put, valoarea expunerii indirecte este negativă.</w:t>
      </w:r>
    </w:p>
    <w:p w14:paraId="3AD89B3F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CE56EE">
        <w:rPr>
          <w:rFonts w:ascii="Times New Roman" w:hAnsi="Times New Roman" w:cs="Times New Roman"/>
          <w:sz w:val="22"/>
          <w:szCs w:val="22"/>
        </w:rPr>
        <w:t xml:space="preserve"> Prin derogare de la punctul 4, pentru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put care nu au un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preţ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exercitare disponibil la data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tranzacţiei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, dar într-o etapă ulterioară, băncile utilizează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preţul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exercitare modelat preconizat care este utilizat pentru calcularea valorii juste 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>.</w:t>
      </w:r>
    </w:p>
    <w:p w14:paraId="22C88E57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CE56EE">
        <w:rPr>
          <w:rFonts w:ascii="Times New Roman" w:hAnsi="Times New Roman" w:cs="Times New Roman"/>
          <w:sz w:val="22"/>
          <w:szCs w:val="22"/>
        </w:rPr>
        <w:t xml:space="preserve"> În cazul în care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nu este disponibilă la o anumită dată, băncile utilizează valoarea justă 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data respectivă. În cazul în care nici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, nici valoarea justă a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opţiuni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nu sunt disponibile la o anumită dată, băncile utilizează cea mai recentă valoare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sau valoare justă.</w:t>
      </w:r>
    </w:p>
    <w:p w14:paraId="030959E7" w14:textId="0E4C5465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8CAB289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Secţiunea</w:t>
      </w:r>
      <w:proofErr w:type="spellEnd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3</w:t>
      </w:r>
    </w:p>
    <w:p w14:paraId="332FED6A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Calcularea valorii expunerii indirecte</w:t>
      </w:r>
    </w:p>
    <w:p w14:paraId="50B3DC77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pentru contractele derivate de credit</w:t>
      </w:r>
    </w:p>
    <w:p w14:paraId="1F1D9CB8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Pr="00CE56EE">
        <w:rPr>
          <w:rFonts w:ascii="Times New Roman" w:hAnsi="Times New Roman" w:cs="Times New Roman"/>
          <w:sz w:val="22"/>
          <w:szCs w:val="22"/>
        </w:rPr>
        <w:t xml:space="preserve"> Valoarea expunerii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un client care provine din contractele derivate de credit este egală cu suma dintre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curentă a contractului derivat de credit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cuantumul datorat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contrapărţii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contractul derivat de credit ca urmare a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potenţiale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stări de nerambursare a emitentului instrumentului-suport din care se scade cuantumul datorat băncii de către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contrapartea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respectivă în cazul respectiv.</w:t>
      </w:r>
    </w:p>
    <w:p w14:paraId="4E12105D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Pr="00CE56EE">
        <w:rPr>
          <w:rFonts w:ascii="Times New Roman" w:hAnsi="Times New Roman" w:cs="Times New Roman"/>
          <w:sz w:val="22"/>
          <w:szCs w:val="22"/>
        </w:rPr>
        <w:t xml:space="preserve"> În cazul în care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 unui contract derivat de credit nu este disponibilă la o anumită dată, băncile utilizează valoarea justă a contractului derivat de credit de la data respectivă. În cazul în care nici valoarea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, nici valoarea justă a contractului derivat de credit nu sunt disponibile la o anumită dată, băncile utilizează cea mai recentă valoare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piaţă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sau valoarea justă.</w:t>
      </w:r>
    </w:p>
    <w:p w14:paraId="260AB19A" w14:textId="214E6A94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5A4E693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34C376B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Secţiunea</w:t>
      </w:r>
      <w:proofErr w:type="spellEnd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4</w:t>
      </w:r>
    </w:p>
    <w:p w14:paraId="1DF6A883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Calcularea valorii expunerii indirecte pentru alte contracte</w:t>
      </w:r>
    </w:p>
    <w:p w14:paraId="1AAB7C9E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derivate enumerate în anexa nr.1 la Regulamentul nr.114/20</w:t>
      </w:r>
      <w:r w:rsidRPr="00CE56EE">
        <w:rPr>
          <w:rFonts w:ascii="Times New Roman" w:hAnsi="Times New Roman" w:cs="Times New Roman"/>
          <w:b/>
          <w:bCs/>
          <w:sz w:val="22"/>
          <w:szCs w:val="22"/>
        </w:rPr>
        <w:t>18</w:t>
      </w:r>
    </w:p>
    <w:p w14:paraId="3FD86768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CE56EE">
        <w:rPr>
          <w:rFonts w:ascii="Times New Roman" w:hAnsi="Times New Roman" w:cs="Times New Roman"/>
          <w:sz w:val="22"/>
          <w:szCs w:val="22"/>
        </w:rPr>
        <w:t xml:space="preserve"> Atunci când calculează valoarea expunerii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un client care provine din alte contracte derivate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menţionate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subpunctul 1.3., inclusiv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swap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-uri, contracte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futures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sau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forward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, băncile descompun segmentele cu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tranzacţii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multiple în segmente cu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tranzacţii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individuale.</w:t>
      </w:r>
    </w:p>
    <w:p w14:paraId="6C03C87C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10.</w:t>
      </w:r>
      <w:r w:rsidRPr="00CE56EE">
        <w:rPr>
          <w:rFonts w:ascii="Times New Roman" w:hAnsi="Times New Roman" w:cs="Times New Roman"/>
          <w:sz w:val="22"/>
          <w:szCs w:val="22"/>
        </w:rPr>
        <w:t xml:space="preserve"> Pentru segmentele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tranzacţii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menţionate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punctul 9, care implică un risc de nerambursare aferent emitentului instrumentului-suport, băncile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îşi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calculează valoarea expunerii indirecte ca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cum acestea ar fi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poziţii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pe segmentele respective.</w:t>
      </w:r>
    </w:p>
    <w:p w14:paraId="682F36BA" w14:textId="77777777" w:rsidR="00080F4C" w:rsidRPr="00CE56EE" w:rsidRDefault="00080F4C" w:rsidP="00080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11.</w:t>
      </w:r>
      <w:r w:rsidRPr="00CE56EE">
        <w:rPr>
          <w:rFonts w:ascii="Times New Roman" w:hAnsi="Times New Roman" w:cs="Times New Roman"/>
          <w:sz w:val="22"/>
          <w:szCs w:val="22"/>
        </w:rPr>
        <w:t xml:space="preserve"> În cazul în care banca nu este în măsură să aplice tratamentul prevăzut la punctele 9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10, aceasta determină valoarea expunerii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emitentul instrumentelor-suport ca fiind pierderea maximă pe care banca ar suporta-o în urma unei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potenţiale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stări de nerambursare a emitentului instrumentelor-suport la care se referă contractul derivat.</w:t>
      </w:r>
    </w:p>
    <w:p w14:paraId="76537D2C" w14:textId="585B78F8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BF5E7A2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Secţiunea</w:t>
      </w:r>
      <w:proofErr w:type="spellEnd"/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5</w:t>
      </w:r>
    </w:p>
    <w:p w14:paraId="23C42C5D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Calcularea valorilor expunerilor indirecte care provin din</w:t>
      </w:r>
    </w:p>
    <w:p w14:paraId="37E69EAA" w14:textId="77777777" w:rsidR="00080F4C" w:rsidRPr="00CE56EE" w:rsidRDefault="00080F4C" w:rsidP="00080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contrac</w:t>
      </w:r>
      <w:r w:rsidRPr="00CE56EE">
        <w:rPr>
          <w:rFonts w:ascii="Times New Roman" w:hAnsi="Times New Roman" w:cs="Times New Roman"/>
          <w:b/>
          <w:bCs/>
          <w:sz w:val="22"/>
          <w:szCs w:val="22"/>
        </w:rPr>
        <w:t xml:space="preserve">te </w:t>
      </w:r>
      <w:r w:rsidRPr="00CE56EE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derivate cu mai multe instrumente-suport</w:t>
      </w:r>
    </w:p>
    <w:p w14:paraId="2561A00C" w14:textId="77777777" w:rsidR="00080F4C" w:rsidRPr="00CE56EE" w:rsidRDefault="00080F4C" w:rsidP="000F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12.</w:t>
      </w:r>
      <w:r w:rsidRPr="00CE56EE">
        <w:rPr>
          <w:rFonts w:ascii="Times New Roman" w:hAnsi="Times New Roman" w:cs="Times New Roman"/>
          <w:sz w:val="22"/>
          <w:szCs w:val="22"/>
        </w:rPr>
        <w:t xml:space="preserve"> Atunci când determină valoarea expunerii indirecte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un client care provine din contracte derivate subscrise pe indici pe datorii, pe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acţiuni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sau pe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swap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-uri pe riscul de credit ori pe un organism de plasament colectiv, sau cu mai multe nume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referinţă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suport, băncile aplică abordarea de tip </w:t>
      </w:r>
      <w:r w:rsidRPr="00CE56EE">
        <w:rPr>
          <w:rFonts w:ascii="Times New Roman" w:hAnsi="Times New Roman" w:cs="Times New Roman"/>
          <w:i/>
          <w:iCs/>
          <w:sz w:val="22"/>
          <w:szCs w:val="22"/>
        </w:rPr>
        <w:t xml:space="preserve">look </w:t>
      </w:r>
      <w:proofErr w:type="spellStart"/>
      <w:r w:rsidRPr="00CE56EE">
        <w:rPr>
          <w:rFonts w:ascii="Times New Roman" w:hAnsi="Times New Roman" w:cs="Times New Roman"/>
          <w:i/>
          <w:iCs/>
          <w:sz w:val="22"/>
          <w:szCs w:val="22"/>
        </w:rPr>
        <w:t>through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toate instrumentele-suport individuale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calculează valorile expunerilor indirecte ca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variaţie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preţului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contractului derivat în caz de stare de nerambursare a fiecăruia dintre numele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referinţă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suport. Băncile atribuie fiecare valoare a expunerii indirecte fie unui client identificat, fie unui client distinct, fie clientului necunoscut, astfel cum se prevede în punctele 8-9 din anexa nr.1 la Regulamentul cu privire la expunerile mari.</w:t>
      </w:r>
    </w:p>
    <w:p w14:paraId="2D45C05B" w14:textId="77777777" w:rsidR="00080F4C" w:rsidRPr="00CE56EE" w:rsidRDefault="00080F4C" w:rsidP="000F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13.</w:t>
      </w:r>
      <w:r w:rsidRPr="00CE56EE">
        <w:rPr>
          <w:rFonts w:ascii="Times New Roman" w:hAnsi="Times New Roman" w:cs="Times New Roman"/>
          <w:sz w:val="22"/>
          <w:szCs w:val="22"/>
        </w:rPr>
        <w:t xml:space="preserve"> În cazul în care banca nu poate să aplice abordarea de tip </w:t>
      </w:r>
      <w:r w:rsidRPr="00CE56EE">
        <w:rPr>
          <w:rFonts w:ascii="Times New Roman" w:hAnsi="Times New Roman" w:cs="Times New Roman"/>
          <w:i/>
          <w:iCs/>
          <w:sz w:val="22"/>
          <w:szCs w:val="22"/>
        </w:rPr>
        <w:t xml:space="preserve">look </w:t>
      </w:r>
      <w:proofErr w:type="spellStart"/>
      <w:r w:rsidRPr="00CE56EE">
        <w:rPr>
          <w:rFonts w:ascii="Times New Roman" w:hAnsi="Times New Roman" w:cs="Times New Roman"/>
          <w:i/>
          <w:iCs/>
          <w:sz w:val="22"/>
          <w:szCs w:val="22"/>
        </w:rPr>
        <w:t>through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toate instrumentele-suport individuale ale contractului derivat, astfel cum se prevede la punctul 12 sau în cazul în care acest lucru ar fi excesiv de împovărător pentru bancă, aceasta:</w:t>
      </w:r>
    </w:p>
    <w:p w14:paraId="67F12E49" w14:textId="77777777" w:rsidR="00080F4C" w:rsidRPr="00CE56EE" w:rsidRDefault="00080F4C" w:rsidP="000F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13.1 aplică abordarea de tip </w:t>
      </w:r>
      <w:r w:rsidRPr="00CE56EE">
        <w:rPr>
          <w:rFonts w:ascii="Times New Roman" w:hAnsi="Times New Roman" w:cs="Times New Roman"/>
          <w:i/>
          <w:iCs/>
          <w:sz w:val="22"/>
          <w:szCs w:val="22"/>
        </w:rPr>
        <w:t xml:space="preserve">look </w:t>
      </w:r>
      <w:proofErr w:type="spellStart"/>
      <w:r w:rsidRPr="00CE56EE">
        <w:rPr>
          <w:rFonts w:ascii="Times New Roman" w:hAnsi="Times New Roman" w:cs="Times New Roman"/>
          <w:i/>
          <w:iCs/>
          <w:sz w:val="22"/>
          <w:szCs w:val="22"/>
        </w:rPr>
        <w:t>through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instrumentele-suport individuale la care banca poate să facă aceasta sau în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privinţa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cărora nu ar fi excesiv de împovărător pentru bancă să facă aceasta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calculează valoarea expunerii indirecte în conformitate cu punctul 12;</w:t>
      </w:r>
    </w:p>
    <w:p w14:paraId="2A898E72" w14:textId="77777777" w:rsidR="00080F4C" w:rsidRPr="00CE56EE" w:rsidRDefault="00080F4C" w:rsidP="000F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sz w:val="22"/>
          <w:szCs w:val="22"/>
        </w:rPr>
        <w:t xml:space="preserve">13.2 în cazul instrumentelor-suport la care banca nu poate să aplice abordarea de tip </w:t>
      </w:r>
      <w:r w:rsidRPr="00CE56EE">
        <w:rPr>
          <w:rFonts w:ascii="Times New Roman" w:hAnsi="Times New Roman" w:cs="Times New Roman"/>
          <w:i/>
          <w:iCs/>
          <w:sz w:val="22"/>
          <w:szCs w:val="22"/>
        </w:rPr>
        <w:t xml:space="preserve">look </w:t>
      </w:r>
      <w:proofErr w:type="spellStart"/>
      <w:r w:rsidRPr="00CE56EE">
        <w:rPr>
          <w:rFonts w:ascii="Times New Roman" w:hAnsi="Times New Roman" w:cs="Times New Roman"/>
          <w:i/>
          <w:iCs/>
          <w:sz w:val="22"/>
          <w:szCs w:val="22"/>
        </w:rPr>
        <w:t>through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sau în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privinţa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cărora ar fi excesiv de împovărător pentru o bancă să facă aceasta, banca calculează valoarea expunerii indirecte analizând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variaţia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preţului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contractului derivat în caz de stare de nerambursare a tuturor respectivelor nume de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referinţă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suport. În acest caz, valoarea expunerii indirecte se atribuie fie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tranzacţiei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cu instrumente financiare derivate în calitate de client distinct, fie clientului necunoscut, astfel cum se prevede la punctul 10 din anexa nr.1 la Regulamentul cu privire la expunerile mari.</w:t>
      </w:r>
    </w:p>
    <w:p w14:paraId="7A2A82C7" w14:textId="77777777" w:rsidR="00080F4C" w:rsidRPr="00CE56EE" w:rsidRDefault="00080F4C" w:rsidP="000F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14.</w:t>
      </w:r>
      <w:r w:rsidRPr="00CE56EE">
        <w:rPr>
          <w:rFonts w:ascii="Times New Roman" w:hAnsi="Times New Roman" w:cs="Times New Roman"/>
          <w:sz w:val="22"/>
          <w:szCs w:val="22"/>
        </w:rPr>
        <w:t xml:space="preserve"> Prin derogare de la punctele 12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13, în cazul în care valorile expunerilor indirecte urmează să fie atribuite clientului necunoscut, astfel cum se prevede la punctele 9-10 din anexa nr.1 la Regulamentul cu privire la expunerile mari,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în cazul în care valorile expunerilor indirecte sunt negative, banca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stabileşte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la zero aceste valori ale expunerilor indirecte înainte de a le lua în calcul pentru expunerile </w:t>
      </w:r>
      <w:proofErr w:type="spellStart"/>
      <w:r w:rsidRPr="00CE56EE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CE56EE">
        <w:rPr>
          <w:rFonts w:ascii="Times New Roman" w:hAnsi="Times New Roman" w:cs="Times New Roman"/>
          <w:sz w:val="22"/>
          <w:szCs w:val="22"/>
        </w:rPr>
        <w:t xml:space="preserve"> de clientul necunoscut.".</w:t>
      </w:r>
    </w:p>
    <w:p w14:paraId="4BE8048D" w14:textId="483CADB1" w:rsidR="00080F4C" w:rsidRPr="00CE56EE" w:rsidRDefault="00080F4C" w:rsidP="000F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F038398" w14:textId="77777777" w:rsidR="00080F4C" w:rsidRPr="00CE56EE" w:rsidRDefault="00080F4C" w:rsidP="000F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56EE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CE56EE">
        <w:rPr>
          <w:rFonts w:ascii="Times New Roman" w:hAnsi="Times New Roman" w:cs="Times New Roman"/>
          <w:sz w:val="22"/>
          <w:szCs w:val="22"/>
        </w:rPr>
        <w:t xml:space="preserve"> Prezenta hotărâre intră în vigoare la expirarea termenului de 3 luni de la data publicării în Monitorul Oficial al Republicii Moldova.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080F4C" w:rsidRPr="00CE56EE" w14:paraId="71E0BE7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1C6143B" w14:textId="77777777" w:rsidR="000F6ECD" w:rsidRPr="00CE56EE" w:rsidRDefault="000F6ECD" w:rsidP="000F6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2C586F0" w14:textId="77777777" w:rsidR="000F6ECD" w:rsidRPr="00CE56EE" w:rsidRDefault="000F6ECD" w:rsidP="000F6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DC270C" w14:textId="2702D581" w:rsidR="00080F4C" w:rsidRPr="00CE56EE" w:rsidRDefault="00080F4C" w:rsidP="000F6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6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2E67A" w14:textId="77777777" w:rsidR="00080F4C" w:rsidRPr="00CE56EE" w:rsidRDefault="00080F4C" w:rsidP="000F6E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80F4C" w:rsidRPr="00CE56EE" w14:paraId="097B3EC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5F7EE04" w14:textId="77777777" w:rsidR="00080F4C" w:rsidRPr="00CE56EE" w:rsidRDefault="00080F4C" w:rsidP="000F6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6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2E300" w14:textId="77777777" w:rsidR="00080F4C" w:rsidRPr="00CE56EE" w:rsidRDefault="00080F4C" w:rsidP="000F6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6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Anca-Dana DRAGU</w:t>
            </w:r>
          </w:p>
        </w:tc>
      </w:tr>
      <w:tr w:rsidR="00080F4C" w:rsidRPr="00CE56EE" w14:paraId="05751109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582458F2" w14:textId="77777777" w:rsidR="00080F4C" w:rsidRPr="00CE56EE" w:rsidRDefault="00080F4C" w:rsidP="000F6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6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Nr.177. </w:t>
            </w:r>
            <w:proofErr w:type="spellStart"/>
            <w:r w:rsidRPr="00CE56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Chişinău</w:t>
            </w:r>
            <w:proofErr w:type="spellEnd"/>
            <w:r w:rsidRPr="00CE56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31 iulie 2025.</w:t>
            </w:r>
          </w:p>
        </w:tc>
      </w:tr>
    </w:tbl>
    <w:p w14:paraId="6B30C37C" w14:textId="77777777" w:rsidR="00241BED" w:rsidRPr="00CE56EE" w:rsidRDefault="00241BED" w:rsidP="000F6EC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41BED" w:rsidRPr="00CE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4C"/>
    <w:rsid w:val="00080F4C"/>
    <w:rsid w:val="000F6ECD"/>
    <w:rsid w:val="00241BED"/>
    <w:rsid w:val="00353074"/>
    <w:rsid w:val="00CE2EE6"/>
    <w:rsid w:val="00CE56EE"/>
    <w:rsid w:val="00E23656"/>
    <w:rsid w:val="00E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5E3F"/>
  <w15:chartTrackingRefBased/>
  <w15:docId w15:val="{1668076D-CF24-4B6A-A6ED-20C49BC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40B877F0CF34480C9D907AE418476" ma:contentTypeVersion="5" ma:contentTypeDescription="Create a new document." ma:contentTypeScope="" ma:versionID="4b3aa98272d2f1b5f18a19ea25f7b227">
  <xsd:schema xmlns:xsd="http://www.w3.org/2001/XMLSchema" xmlns:xs="http://www.w3.org/2001/XMLSchema" xmlns:p="http://schemas.microsoft.com/office/2006/metadata/properties" xmlns:ns3="e4018f97-5d5d-4b19-ad4b-a40b766e993d" targetNamespace="http://schemas.microsoft.com/office/2006/metadata/properties" ma:root="true" ma:fieldsID="a17c2acd380f257a034895b71a2cbfaa" ns3:_="">
    <xsd:import namespace="e4018f97-5d5d-4b19-ad4b-a40b766e99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8f97-5d5d-4b19-ad4b-a40b766e99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BA681-706B-4B1C-9410-F91AA2836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C188DE-237A-4233-95B2-6C4F81B6A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B2D3E-CCA5-4D38-980E-982FE5FDE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18f97-5d5d-4b19-ad4b-a40b766e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1619</Words>
  <Characters>9394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2025-08-13T13:16:00Z</dcterms:created>
  <dcterms:modified xsi:type="dcterms:W3CDTF">2025-08-13T13:20:00Z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2025-08-13T13:13:57Z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b40e4e8a-007a-49e6-b893-f406910a5171</vt:lpwstr>
  </property>
  <property fmtid="{D5CDD505-2E9C-101B-9397-08002B2CF9AE}" pid="8" name="MSIP_Label_38962dcf-d39f-4edc-a396-338a56ba9170_ContentBits">
    <vt:lpwstr>0</vt:lpwstr>
  </property>
  <property fmtid="{D5CDD505-2E9C-101B-9397-08002B2CF9AE}" pid="9" name="MSIP_Label_38962dcf-d39f-4edc-a396-338a56ba9170_Tag">
    <vt:lpwstr>10, 0, 1, 1</vt:lpwstr>
  </property>
  <property fmtid="{D5CDD505-2E9C-101B-9397-08002B2CF9AE}" pid="10" name="ContentTypeId">
    <vt:lpwstr>0x01010019D40B877F0CF34480C9D907AE418476</vt:lpwstr>
  </property>
</Properties>
</file>