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264CB" w14:textId="23E637F8" w:rsidR="00B3448A" w:rsidRPr="00B92F99" w:rsidRDefault="00B3448A" w:rsidP="00B3448A">
      <w:pPr>
        <w:widowControl w:val="0"/>
        <w:spacing w:after="0" w:line="240" w:lineRule="auto"/>
        <w:jc w:val="center"/>
        <w:rPr>
          <w:rFonts w:ascii="PermianSerifTypeface" w:eastAsia="Courier New" w:hAnsi="PermianSerifTypeface" w:cs="Times New Roman"/>
          <w:b/>
          <w:bCs/>
          <w:color w:val="000000"/>
          <w:lang w:val="ro-MD" w:eastAsia="ro-RO"/>
        </w:rPr>
      </w:pPr>
      <w:r w:rsidRPr="00B92F99">
        <w:rPr>
          <w:rFonts w:ascii="PermianSerifTypeface" w:eastAsia="Courier New" w:hAnsi="PermianSerifTypeface" w:cs="Times New Roman"/>
          <w:b/>
          <w:bCs/>
          <w:color w:val="000000"/>
          <w:lang w:val="ro-MD" w:eastAsia="ro-RO"/>
        </w:rPr>
        <w:t>BANCA NAȚIONALĂ A MOLDOVEI</w:t>
      </w:r>
    </w:p>
    <w:p w14:paraId="6EB55C81" w14:textId="28AB282A" w:rsidR="00B3448A" w:rsidRPr="00B92F99" w:rsidRDefault="00B3448A" w:rsidP="00BB01B2">
      <w:pPr>
        <w:widowControl w:val="0"/>
        <w:spacing w:after="0" w:line="240" w:lineRule="auto"/>
        <w:jc w:val="center"/>
        <w:rPr>
          <w:rFonts w:ascii="PermianSerifTypeface" w:eastAsia="Times New Roman" w:hAnsi="PermianSerifTypeface" w:cs="Times New Roman"/>
          <w:bCs/>
          <w:color w:val="000000"/>
          <w:lang w:val="ro-MD"/>
        </w:rPr>
      </w:pPr>
      <w:r w:rsidRPr="00B92F99">
        <w:rPr>
          <w:rFonts w:ascii="PermianSerifTypeface" w:eastAsia="Courier New" w:hAnsi="PermianSerifTypeface" w:cs="Times New Roman"/>
          <w:b/>
          <w:bCs/>
          <w:color w:val="000000"/>
          <w:lang w:val="ro-MD" w:eastAsia="ro-RO"/>
        </w:rPr>
        <w:t>COMITETUL EXECUTIV</w:t>
      </w:r>
      <w:r w:rsidRPr="00B92F99">
        <w:rPr>
          <w:rFonts w:ascii="PermianSerifTypeface" w:eastAsia="Courier New" w:hAnsi="PermianSerifTypeface" w:cs="Times New Roman"/>
          <w:b/>
          <w:bCs/>
          <w:color w:val="000000"/>
          <w:lang w:val="ro-MD" w:eastAsia="ro-RO"/>
        </w:rPr>
        <w:br/>
      </w:r>
    </w:p>
    <w:p w14:paraId="7A76859F" w14:textId="7E773C5C" w:rsidR="00D91642" w:rsidRDefault="00B3448A" w:rsidP="00D91642">
      <w:pPr>
        <w:pStyle w:val="10"/>
        <w:keepNext/>
        <w:keepLines/>
        <w:shd w:val="clear" w:color="auto" w:fill="auto"/>
        <w:spacing w:before="0" w:line="240" w:lineRule="auto"/>
        <w:ind w:right="-1"/>
        <w:jc w:val="center"/>
        <w:rPr>
          <w:rFonts w:ascii="PermianSerifTypeface" w:hAnsi="PermianSerifTypeface"/>
          <w:b/>
          <w:color w:val="000000" w:themeColor="text1"/>
          <w:sz w:val="22"/>
          <w:szCs w:val="22"/>
        </w:rPr>
      </w:pPr>
      <w:r w:rsidRPr="00B92F99">
        <w:rPr>
          <w:rFonts w:ascii="PermianSerifTypeface" w:hAnsi="PermianSerifTypeface"/>
          <w:b/>
          <w:color w:val="000000" w:themeColor="text1"/>
          <w:sz w:val="22"/>
          <w:szCs w:val="22"/>
        </w:rPr>
        <w:t>HOTĂRÂREA</w:t>
      </w:r>
      <w:r w:rsidR="00D91642">
        <w:rPr>
          <w:rFonts w:ascii="PermianSerifTypeface" w:hAnsi="PermianSerifTypeface"/>
          <w:b/>
          <w:color w:val="000000" w:themeColor="text1"/>
          <w:sz w:val="22"/>
          <w:szCs w:val="22"/>
        </w:rPr>
        <w:t xml:space="preserve"> N</w:t>
      </w:r>
      <w:r w:rsidRPr="00B92F99">
        <w:rPr>
          <w:rFonts w:ascii="PermianSerifTypeface" w:hAnsi="PermianSerifTypeface"/>
          <w:b/>
          <w:color w:val="000000" w:themeColor="text1"/>
          <w:sz w:val="22"/>
          <w:szCs w:val="22"/>
        </w:rPr>
        <w:t xml:space="preserve">r. </w:t>
      </w:r>
      <w:r w:rsidR="00D91642">
        <w:rPr>
          <w:rFonts w:ascii="PermianSerifTypeface" w:hAnsi="PermianSerifTypeface"/>
          <w:b/>
          <w:color w:val="000000" w:themeColor="text1"/>
          <w:sz w:val="22"/>
          <w:szCs w:val="22"/>
        </w:rPr>
        <w:t>104</w:t>
      </w:r>
    </w:p>
    <w:p w14:paraId="386FB2E8" w14:textId="15B3324D" w:rsidR="00B3448A" w:rsidRPr="00B92F99" w:rsidRDefault="00B3448A" w:rsidP="00B3448A">
      <w:pPr>
        <w:pStyle w:val="10"/>
        <w:keepNext/>
        <w:keepLines/>
        <w:shd w:val="clear" w:color="auto" w:fill="auto"/>
        <w:spacing w:before="0" w:line="240" w:lineRule="auto"/>
        <w:ind w:right="-1"/>
        <w:jc w:val="center"/>
        <w:rPr>
          <w:rFonts w:ascii="PermianSerifTypeface" w:hAnsi="PermianSerifTypeface"/>
          <w:b/>
          <w:color w:val="000000" w:themeColor="text1"/>
          <w:sz w:val="22"/>
          <w:szCs w:val="22"/>
        </w:rPr>
      </w:pPr>
      <w:r w:rsidRPr="00B92F99">
        <w:rPr>
          <w:rFonts w:ascii="PermianSerifTypeface" w:hAnsi="PermianSerifTypeface"/>
          <w:b/>
          <w:color w:val="000000" w:themeColor="text1"/>
          <w:sz w:val="22"/>
          <w:szCs w:val="22"/>
        </w:rPr>
        <w:t xml:space="preserve">din </w:t>
      </w:r>
      <w:r w:rsidR="00D91642">
        <w:rPr>
          <w:rFonts w:ascii="PermianSerifTypeface" w:hAnsi="PermianSerifTypeface"/>
          <w:b/>
          <w:color w:val="000000" w:themeColor="text1"/>
          <w:sz w:val="22"/>
          <w:szCs w:val="22"/>
        </w:rPr>
        <w:t>25 mai</w:t>
      </w:r>
      <w:r w:rsidRPr="00B92F99">
        <w:rPr>
          <w:rFonts w:ascii="PermianSerifTypeface" w:hAnsi="PermianSerifTypeface"/>
          <w:b/>
          <w:color w:val="000000" w:themeColor="text1"/>
          <w:sz w:val="22"/>
          <w:szCs w:val="22"/>
        </w:rPr>
        <w:t xml:space="preserve"> 202</w:t>
      </w:r>
      <w:r w:rsidR="00D04B78" w:rsidRPr="00B92F99">
        <w:rPr>
          <w:rFonts w:ascii="PermianSerifTypeface" w:hAnsi="PermianSerifTypeface"/>
          <w:b/>
          <w:color w:val="000000" w:themeColor="text1"/>
          <w:sz w:val="22"/>
          <w:szCs w:val="22"/>
        </w:rPr>
        <w:t>3</w:t>
      </w:r>
    </w:p>
    <w:p w14:paraId="302F3551" w14:textId="77777777" w:rsidR="00B3448A" w:rsidRPr="00B92F99" w:rsidRDefault="00B3448A" w:rsidP="00B3448A">
      <w:pPr>
        <w:spacing w:after="0" w:line="240" w:lineRule="auto"/>
        <w:ind w:firstLine="540"/>
        <w:jc w:val="both"/>
        <w:rPr>
          <w:rFonts w:ascii="PermianSerifTypeface" w:eastAsia="Times New Roman" w:hAnsi="PermianSerifTypeface" w:cs="Times New Roman"/>
          <w:bCs/>
          <w:color w:val="000000"/>
          <w:lang w:val="ro-MD"/>
        </w:rPr>
      </w:pPr>
    </w:p>
    <w:p w14:paraId="7CD81650" w14:textId="77777777" w:rsidR="003E1ACC" w:rsidRDefault="00B3448A" w:rsidP="00B3448A">
      <w:pPr>
        <w:keepNext/>
        <w:keepLines/>
        <w:widowControl w:val="0"/>
        <w:spacing w:after="0" w:line="240" w:lineRule="auto"/>
        <w:ind w:right="-1"/>
        <w:jc w:val="center"/>
        <w:outlineLvl w:val="0"/>
        <w:rPr>
          <w:rFonts w:ascii="PermianSerifTypeface" w:eastAsia="Times New Roman" w:hAnsi="PermianSerifTypeface" w:cs="Times New Roman"/>
          <w:b/>
          <w:color w:val="000000"/>
          <w:lang w:val="ro-MD" w:eastAsia="ro-RO"/>
        </w:rPr>
      </w:pPr>
      <w:r w:rsidRPr="00B92F99">
        <w:rPr>
          <w:rFonts w:ascii="PermianSerifTypeface" w:eastAsia="Times New Roman" w:hAnsi="PermianSerifTypeface" w:cs="Times New Roman"/>
          <w:b/>
          <w:color w:val="000000"/>
          <w:lang w:val="ro-MD" w:eastAsia="ro-RO"/>
        </w:rPr>
        <w:t>Cu privire la modificarea Hotărârii Comitetului executiv al Băncii Naționale a Moldovei</w:t>
      </w:r>
    </w:p>
    <w:p w14:paraId="01736089" w14:textId="77777777" w:rsidR="003E1ACC" w:rsidRDefault="00B3448A" w:rsidP="00B3448A">
      <w:pPr>
        <w:keepNext/>
        <w:keepLines/>
        <w:widowControl w:val="0"/>
        <w:spacing w:after="0" w:line="240" w:lineRule="auto"/>
        <w:ind w:right="-1"/>
        <w:jc w:val="center"/>
        <w:outlineLvl w:val="0"/>
        <w:rPr>
          <w:rFonts w:ascii="PermianSerifTypeface" w:eastAsia="Times New Roman" w:hAnsi="PermianSerifTypeface" w:cs="Times New Roman"/>
          <w:b/>
          <w:color w:val="000000"/>
          <w:lang w:val="ro-MD" w:eastAsia="ro-RO"/>
        </w:rPr>
      </w:pPr>
      <w:r w:rsidRPr="00B92F99">
        <w:rPr>
          <w:rFonts w:ascii="PermianSerifTypeface" w:eastAsia="Times New Roman" w:hAnsi="PermianSerifTypeface" w:cs="Times New Roman"/>
          <w:b/>
          <w:color w:val="000000"/>
          <w:lang w:val="ro-MD" w:eastAsia="ro-RO"/>
        </w:rPr>
        <w:t>nr.123 din 25 aprilie 2019 „Cu privire la limitele maxime ale comisioanelor</w:t>
      </w:r>
    </w:p>
    <w:p w14:paraId="5E4A3DA8" w14:textId="20E80E25" w:rsidR="00B3448A" w:rsidRPr="00B92F99" w:rsidRDefault="00B3448A" w:rsidP="00B3448A">
      <w:pPr>
        <w:keepNext/>
        <w:keepLines/>
        <w:widowControl w:val="0"/>
        <w:spacing w:after="0" w:line="240" w:lineRule="auto"/>
        <w:ind w:right="-1"/>
        <w:jc w:val="center"/>
        <w:outlineLvl w:val="0"/>
        <w:rPr>
          <w:rFonts w:ascii="PermianSerifTypeface" w:eastAsia="Times New Roman" w:hAnsi="PermianSerifTypeface" w:cs="Times New Roman"/>
          <w:b/>
          <w:color w:val="000000"/>
          <w:lang w:val="ro-MD" w:eastAsia="ro-RO"/>
        </w:rPr>
      </w:pPr>
      <w:r w:rsidRPr="00B92F99">
        <w:rPr>
          <w:rFonts w:ascii="PermianSerifTypeface" w:eastAsia="Times New Roman" w:hAnsi="PermianSerifTypeface" w:cs="Times New Roman"/>
          <w:b/>
          <w:color w:val="000000"/>
          <w:lang w:val="ro-MD" w:eastAsia="ro-RO"/>
        </w:rPr>
        <w:t>pentru serviciile prestate de către „</w:t>
      </w:r>
      <w:r w:rsidR="003E1ACC">
        <w:rPr>
          <w:rFonts w:ascii="PermianSerifTypeface" w:eastAsia="Times New Roman" w:hAnsi="PermianSerifTypeface" w:cs="Times New Roman"/>
          <w:b/>
          <w:color w:val="000000"/>
          <w:lang w:val="ro-MD" w:eastAsia="ro-RO"/>
        </w:rPr>
        <w:t>D</w:t>
      </w:r>
      <w:r w:rsidR="003E1ACC" w:rsidRPr="00B92F99">
        <w:rPr>
          <w:rFonts w:ascii="PermianSerifTypeface" w:eastAsia="Times New Roman" w:hAnsi="PermianSerifTypeface" w:cs="Times New Roman"/>
          <w:b/>
          <w:color w:val="000000"/>
          <w:lang w:val="ro-MD" w:eastAsia="ro-RO"/>
        </w:rPr>
        <w:t>epozitarul central unic al valorilor mobiliare</w:t>
      </w:r>
      <w:r w:rsidRPr="00B92F99">
        <w:rPr>
          <w:rFonts w:ascii="PermianSerifTypeface" w:eastAsia="Times New Roman" w:hAnsi="PermianSerifTypeface" w:cs="Times New Roman"/>
          <w:b/>
          <w:color w:val="000000"/>
          <w:lang w:val="ro-MD" w:eastAsia="ro-RO"/>
        </w:rPr>
        <w:t>” S.A.”</w:t>
      </w:r>
    </w:p>
    <w:p w14:paraId="612C394F" w14:textId="77777777" w:rsidR="00B3448A" w:rsidRPr="00B92F99" w:rsidRDefault="00B3448A" w:rsidP="00B3448A">
      <w:pPr>
        <w:spacing w:after="0" w:line="240" w:lineRule="auto"/>
        <w:ind w:right="-1"/>
        <w:jc w:val="center"/>
        <w:rPr>
          <w:rFonts w:ascii="PermianSerifTypeface" w:eastAsia="Times New Roman" w:hAnsi="PermianSerifTypeface" w:cs="Times New Roman"/>
          <w:bCs/>
          <w:color w:val="000000"/>
          <w:lang w:val="ro-MD"/>
        </w:rPr>
      </w:pPr>
    </w:p>
    <w:p w14:paraId="789F7F63" w14:textId="009AA612" w:rsidR="00B3448A" w:rsidRPr="00B92F99" w:rsidRDefault="00B3448A" w:rsidP="00B3448A">
      <w:pPr>
        <w:spacing w:after="0" w:line="240" w:lineRule="auto"/>
        <w:ind w:firstLine="426"/>
        <w:jc w:val="both"/>
        <w:rPr>
          <w:rFonts w:ascii="PermianSerifTypeface" w:eastAsia="Times New Roman" w:hAnsi="PermianSerifTypeface" w:cs="Times New Roman"/>
          <w:bCs/>
          <w:color w:val="000000"/>
          <w:lang w:val="ro-MD"/>
        </w:rPr>
      </w:pPr>
      <w:r w:rsidRPr="00B92F99">
        <w:rPr>
          <w:rFonts w:ascii="PermianSerifTypeface" w:eastAsia="Times New Roman" w:hAnsi="PermianSerifTypeface" w:cs="Times New Roman"/>
          <w:bCs/>
          <w:color w:val="000000"/>
          <w:lang w:val="ro-MD"/>
        </w:rPr>
        <w:t>În temeiul art. 5 alin. (1) lit. f), art. 11 alin. (1)</w:t>
      </w:r>
      <w:r w:rsidR="008F7623">
        <w:rPr>
          <w:rFonts w:ascii="PermianSerifTypeface" w:eastAsia="Times New Roman" w:hAnsi="PermianSerifTypeface" w:cs="Times New Roman"/>
          <w:bCs/>
          <w:color w:val="000000"/>
          <w:lang w:val="ro-MD"/>
        </w:rPr>
        <w:t xml:space="preserve"> </w:t>
      </w:r>
      <w:r w:rsidRPr="00B92F99">
        <w:rPr>
          <w:rFonts w:ascii="PermianSerifTypeface" w:eastAsia="Times New Roman" w:hAnsi="PermianSerifTypeface" w:cs="Times New Roman"/>
          <w:bCs/>
          <w:color w:val="000000"/>
          <w:lang w:val="ro-MD"/>
        </w:rPr>
        <w:t>și art. 49</w:t>
      </w:r>
      <w:r w:rsidRPr="00B92F99">
        <w:rPr>
          <w:rFonts w:ascii="PermianSerifTypeface" w:eastAsia="Times New Roman" w:hAnsi="PermianSerifTypeface" w:cs="Times New Roman"/>
          <w:bCs/>
          <w:color w:val="000000"/>
          <w:vertAlign w:val="superscript"/>
          <w:lang w:val="ro-MD"/>
        </w:rPr>
        <w:t>2</w:t>
      </w:r>
      <w:r w:rsidRPr="00B92F99">
        <w:rPr>
          <w:rFonts w:ascii="PermianSerifTypeface" w:eastAsia="Times New Roman" w:hAnsi="PermianSerifTypeface" w:cs="Times New Roman"/>
          <w:bCs/>
          <w:color w:val="000000"/>
          <w:lang w:val="ro-MD"/>
        </w:rPr>
        <w:t xml:space="preserve"> din Legea nr. 548/1995 cu privire la Banca Națională a Moldovei </w:t>
      </w:r>
      <w:r w:rsidRPr="00B92F99">
        <w:rPr>
          <w:rFonts w:ascii="PermianSerifTypeface" w:eastAsia="Batang" w:hAnsi="PermianSerifTypeface" w:cs="Times New Roman"/>
          <w:bCs/>
          <w:lang w:val="ro-MD" w:eastAsia="ru-RU"/>
        </w:rPr>
        <w:t>(republicată în Monitorul Oficial al Republicii Moldova, 2015, nr.297-300, art.544)</w:t>
      </w:r>
      <w:r w:rsidRPr="00B92F99">
        <w:rPr>
          <w:rFonts w:ascii="PermianSerifTypeface" w:eastAsia="Times New Roman" w:hAnsi="PermianSerifTypeface" w:cs="Times New Roman"/>
          <w:bCs/>
          <w:color w:val="000000"/>
          <w:lang w:val="ro-MD"/>
        </w:rPr>
        <w:t>, cu modificările ulterioare, art. 45 alin. (1) din Legea nr.234/2016 cu privire la Depozitarul central unic al valorilor mobiliare (Monitorul Oficial al Republicii Moldova, 2016, nr. 343-346, art. 711), cu modificările ulterioare, Comitetul executiv al Băncii Naționale a Moldovei</w:t>
      </w:r>
    </w:p>
    <w:p w14:paraId="49CCDC94" w14:textId="77777777" w:rsidR="00B3448A" w:rsidRPr="00B92F99" w:rsidRDefault="00B3448A" w:rsidP="00B3448A">
      <w:pPr>
        <w:tabs>
          <w:tab w:val="left" w:pos="1134"/>
        </w:tabs>
        <w:spacing w:after="0" w:line="240" w:lineRule="auto"/>
        <w:jc w:val="center"/>
        <w:rPr>
          <w:rFonts w:ascii="PermianSerifTypeface" w:eastAsia="Times New Roman" w:hAnsi="PermianSerifTypeface" w:cs="Times New Roman"/>
          <w:b/>
          <w:color w:val="000000"/>
          <w:lang w:val="ro-MD"/>
        </w:rPr>
      </w:pPr>
      <w:r w:rsidRPr="00B92F99">
        <w:rPr>
          <w:rFonts w:ascii="PermianSerifTypeface" w:eastAsia="Times New Roman" w:hAnsi="PermianSerifTypeface" w:cs="Times New Roman"/>
          <w:b/>
          <w:color w:val="000000"/>
          <w:lang w:val="ro-MD"/>
        </w:rPr>
        <w:t>HOTĂRĂŞTE:</w:t>
      </w:r>
    </w:p>
    <w:p w14:paraId="7F99628D" w14:textId="175BACF5" w:rsidR="00B3448A" w:rsidRPr="00B92F99" w:rsidRDefault="00B3448A" w:rsidP="003E1ACC">
      <w:pPr>
        <w:pStyle w:val="ListParagraph"/>
        <w:numPr>
          <w:ilvl w:val="0"/>
          <w:numId w:val="1"/>
        </w:numPr>
        <w:ind w:left="0" w:firstLine="426"/>
        <w:jc w:val="both"/>
        <w:rPr>
          <w:rFonts w:ascii="PermianSerifTypeface" w:hAnsi="PermianSerifTypeface"/>
          <w:lang w:val="ro-MD"/>
        </w:rPr>
      </w:pPr>
      <w:r w:rsidRPr="00B92F99">
        <w:rPr>
          <w:rFonts w:ascii="PermianSerifTypeface" w:hAnsi="PermianSerifTypeface"/>
          <w:lang w:val="ro-MD"/>
        </w:rPr>
        <w:t xml:space="preserve">Secțiunea </w:t>
      </w:r>
      <w:r w:rsidR="00C035A3" w:rsidRPr="00B92F99">
        <w:rPr>
          <w:rFonts w:ascii="PermianSerifTypeface" w:hAnsi="PermianSerifTypeface"/>
          <w:lang w:val="ro-MD"/>
        </w:rPr>
        <w:t>8</w:t>
      </w:r>
      <w:r w:rsidRPr="00B92F99">
        <w:rPr>
          <w:rFonts w:ascii="PermianSerifTypeface" w:hAnsi="PermianSerifTypeface"/>
          <w:lang w:val="ro-MD"/>
        </w:rPr>
        <w:t xml:space="preserve"> din anexa la Hotărârea Comitetului executiv al Băncii Naționale a Moldovei nr.123 din 25 aprilie 2019 „Cu privire la limitele maxime ale comisioanelor pentru serviciile prestate de către „DEPOZITARUL CENTRAL UNIC AL VALORILOR MOBILIARE” S.A.” v</w:t>
      </w:r>
      <w:r w:rsidR="00C035A3" w:rsidRPr="00B92F99">
        <w:rPr>
          <w:rFonts w:ascii="PermianSerifTypeface" w:hAnsi="PermianSerifTypeface"/>
          <w:lang w:val="ro-MD"/>
        </w:rPr>
        <w:t>a</w:t>
      </w:r>
      <w:r w:rsidRPr="00B92F99">
        <w:rPr>
          <w:rFonts w:ascii="PermianSerifTypeface" w:hAnsi="PermianSerifTypeface"/>
          <w:lang w:val="ro-MD"/>
        </w:rPr>
        <w:t xml:space="preserve"> avea următorul cuprins:</w:t>
      </w:r>
    </w:p>
    <w:p w14:paraId="36AEDFEA" w14:textId="31761F1A" w:rsidR="00C035A3" w:rsidRPr="00B92F99" w:rsidRDefault="00C035A3" w:rsidP="003E1ACC">
      <w:pPr>
        <w:pStyle w:val="ListParagraph"/>
        <w:spacing w:before="120" w:after="120" w:line="240" w:lineRule="auto"/>
        <w:ind w:left="0" w:firstLine="454"/>
        <w:contextualSpacing w:val="0"/>
        <w:jc w:val="both"/>
        <w:rPr>
          <w:rFonts w:ascii="PermianSerifTypeface" w:hAnsi="PermianSerifTypeface" w:cs="Times New Roman"/>
          <w:b/>
          <w:lang w:val="ro-MD"/>
        </w:rPr>
      </w:pPr>
      <w:r w:rsidRPr="00B92F99">
        <w:rPr>
          <w:rFonts w:ascii="PermianSerifTypeface" w:hAnsi="PermianSerifTypeface"/>
          <w:lang w:val="ro-MD"/>
        </w:rPr>
        <w:t>„</w:t>
      </w:r>
      <w:r w:rsidRPr="00B92F99">
        <w:rPr>
          <w:rFonts w:ascii="PermianSerifTypeface" w:hAnsi="PermianSerifTypeface"/>
          <w:b/>
          <w:bCs/>
          <w:lang w:val="ro-MD"/>
        </w:rPr>
        <w:t>8.</w:t>
      </w:r>
      <w:r w:rsidRPr="00B92F99">
        <w:rPr>
          <w:rFonts w:ascii="PermianSerifTypeface" w:hAnsi="PermianSerifTypeface"/>
          <w:lang w:val="ro-MD"/>
        </w:rPr>
        <w:t xml:space="preserve"> </w:t>
      </w:r>
      <w:r w:rsidRPr="00B92F99">
        <w:rPr>
          <w:rFonts w:ascii="PermianSerifTypeface" w:hAnsi="PermianSerifTypeface" w:cs="Times New Roman"/>
          <w:b/>
          <w:lang w:val="ro-MD"/>
        </w:rPr>
        <w:t>Comisioane pentru decontarea tranzacțiilor cu valori mobiliare încheiate pe piața reglementată sau MTF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8"/>
        <w:gridCol w:w="2414"/>
        <w:gridCol w:w="3544"/>
      </w:tblGrid>
      <w:tr w:rsidR="00C035A3" w:rsidRPr="00B92F99" w14:paraId="7B7C708C" w14:textId="77777777" w:rsidTr="005F5FA3">
        <w:tc>
          <w:tcPr>
            <w:tcW w:w="3398" w:type="dxa"/>
            <w:shd w:val="clear" w:color="auto" w:fill="auto"/>
            <w:vAlign w:val="center"/>
          </w:tcPr>
          <w:p w14:paraId="690E72FC" w14:textId="77777777" w:rsidR="00C035A3" w:rsidRPr="005F5FA3" w:rsidRDefault="00C035A3" w:rsidP="00397B6D">
            <w:pPr>
              <w:jc w:val="center"/>
              <w:rPr>
                <w:rFonts w:ascii="PermianSerifTypeface" w:hAnsi="PermianSerifTypeface" w:cs="Times New Roman"/>
                <w:b/>
                <w:sz w:val="20"/>
                <w:szCs w:val="20"/>
                <w:lang w:val="ro-MD"/>
              </w:rPr>
            </w:pPr>
            <w:r w:rsidRPr="005F5FA3">
              <w:rPr>
                <w:rFonts w:ascii="PermianSerifTypeface" w:hAnsi="PermianSerifTypeface" w:cs="Times New Roman"/>
                <w:b/>
                <w:sz w:val="20"/>
                <w:szCs w:val="20"/>
                <w:lang w:val="ro-MD"/>
              </w:rPr>
              <w:t>Comisioane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6A5E17DE" w14:textId="261B88A0" w:rsidR="00C035A3" w:rsidRPr="005F5FA3" w:rsidRDefault="00C035A3" w:rsidP="00AF7F1F">
            <w:pPr>
              <w:jc w:val="center"/>
              <w:rPr>
                <w:rFonts w:ascii="PermianSerifTypeface" w:hAnsi="PermianSerifTypeface" w:cs="Times New Roman"/>
                <w:b/>
                <w:sz w:val="20"/>
                <w:szCs w:val="20"/>
                <w:lang w:val="ro-MD"/>
              </w:rPr>
            </w:pPr>
            <w:r w:rsidRPr="005F5FA3">
              <w:rPr>
                <w:rFonts w:ascii="PermianSerifTypeface" w:hAnsi="PermianSerifTypeface" w:cs="Times New Roman"/>
                <w:b/>
                <w:sz w:val="20"/>
                <w:szCs w:val="20"/>
                <w:lang w:val="ro-MD"/>
              </w:rPr>
              <w:t>Limita maximă a comisionului</w:t>
            </w:r>
          </w:p>
        </w:tc>
        <w:tc>
          <w:tcPr>
            <w:tcW w:w="3544" w:type="dxa"/>
            <w:shd w:val="clear" w:color="auto" w:fill="auto"/>
          </w:tcPr>
          <w:p w14:paraId="36C69630" w14:textId="77777777" w:rsidR="00C035A3" w:rsidRPr="005F5FA3" w:rsidRDefault="00C035A3" w:rsidP="00AF7F1F">
            <w:pPr>
              <w:jc w:val="center"/>
              <w:rPr>
                <w:rFonts w:ascii="PermianSerifTypeface" w:hAnsi="PermianSerifTypeface" w:cs="Times New Roman"/>
                <w:b/>
                <w:sz w:val="20"/>
                <w:szCs w:val="20"/>
                <w:lang w:val="ro-MD"/>
              </w:rPr>
            </w:pPr>
            <w:r w:rsidRPr="005F5FA3">
              <w:rPr>
                <w:rFonts w:ascii="PermianSerifTypeface" w:hAnsi="PermianSerifTypeface" w:cs="Times New Roman"/>
                <w:b/>
                <w:sz w:val="20"/>
                <w:szCs w:val="20"/>
                <w:lang w:val="ro-MD"/>
              </w:rPr>
              <w:t>Descriere</w:t>
            </w:r>
          </w:p>
        </w:tc>
      </w:tr>
      <w:tr w:rsidR="00C035A3" w:rsidRPr="00B92F99" w14:paraId="754932C3" w14:textId="77777777" w:rsidTr="005F5FA3">
        <w:tc>
          <w:tcPr>
            <w:tcW w:w="3398" w:type="dxa"/>
          </w:tcPr>
          <w:p w14:paraId="6FF6A524" w14:textId="770257C5" w:rsidR="00C035A3" w:rsidRPr="005F5FA3" w:rsidRDefault="00EC31D7" w:rsidP="00397B6D">
            <w:pPr>
              <w:pStyle w:val="ListParagraph"/>
              <w:numPr>
                <w:ilvl w:val="1"/>
                <w:numId w:val="5"/>
              </w:numPr>
              <w:tabs>
                <w:tab w:val="left" w:pos="455"/>
              </w:tabs>
              <w:spacing w:after="0" w:line="240" w:lineRule="auto"/>
              <w:ind w:left="447" w:hanging="447"/>
              <w:jc w:val="both"/>
              <w:rPr>
                <w:rFonts w:ascii="PermianSerifTypeface" w:hAnsi="PermianSerifTypeface" w:cs="Times New Roman"/>
                <w:b/>
                <w:sz w:val="20"/>
                <w:szCs w:val="20"/>
                <w:lang w:val="ro-MD"/>
              </w:rPr>
            </w:pPr>
            <w:r w:rsidRPr="005F5FA3">
              <w:rPr>
                <w:rFonts w:ascii="PermianSerifTypeface" w:hAnsi="PermianSerifTypeface" w:cs="Times New Roman"/>
                <w:sz w:val="20"/>
                <w:szCs w:val="20"/>
                <w:lang w:val="ro-MD"/>
              </w:rPr>
              <w:t>Comision pentru decontarea tranzacțiilor cu valori mobiliare încheiate pe piața reglementată sau MTF</w:t>
            </w:r>
            <w:r w:rsidR="00C035A3" w:rsidRPr="005F5FA3">
              <w:rPr>
                <w:rFonts w:ascii="PermianSerifTypeface" w:hAnsi="PermianSerifTypeface" w:cs="Times New Roman"/>
                <w:sz w:val="20"/>
                <w:szCs w:val="20"/>
                <w:lang w:val="ro-MD"/>
              </w:rPr>
              <w:t>, cu excepția tranzacțiilor stabilite de pct. 8.</w:t>
            </w:r>
            <w:r w:rsidRPr="005F5FA3">
              <w:rPr>
                <w:rFonts w:ascii="PermianSerifTypeface" w:hAnsi="PermianSerifTypeface" w:cs="Times New Roman"/>
                <w:sz w:val="20"/>
                <w:szCs w:val="20"/>
                <w:lang w:val="ro-MD"/>
              </w:rPr>
              <w:t>2</w:t>
            </w:r>
            <w:r w:rsidR="009650EE" w:rsidRPr="005F5FA3">
              <w:rPr>
                <w:rFonts w:ascii="PermianSerifTypeface" w:hAnsi="PermianSerifTypeface" w:cs="Times New Roman"/>
                <w:sz w:val="20"/>
                <w:szCs w:val="20"/>
                <w:lang w:val="ro-MD"/>
              </w:rPr>
              <w:t>.</w:t>
            </w:r>
            <w:r w:rsidRPr="005F5FA3">
              <w:rPr>
                <w:rFonts w:ascii="PermianSerifTypeface" w:hAnsi="PermianSerifTypeface" w:cs="Times New Roman"/>
                <w:sz w:val="20"/>
                <w:szCs w:val="20"/>
                <w:lang w:val="ro-MD"/>
              </w:rPr>
              <w:t xml:space="preserve"> și 8.3</w:t>
            </w:r>
            <w:r w:rsidR="009650EE" w:rsidRPr="005F5FA3">
              <w:rPr>
                <w:rFonts w:ascii="PermianSerifTypeface" w:hAnsi="PermianSerifTypeface" w:cs="Times New Roman"/>
                <w:sz w:val="20"/>
                <w:szCs w:val="20"/>
                <w:lang w:val="ro-MD"/>
              </w:rPr>
              <w:t>.</w:t>
            </w:r>
          </w:p>
        </w:tc>
        <w:tc>
          <w:tcPr>
            <w:tcW w:w="2414" w:type="dxa"/>
          </w:tcPr>
          <w:p w14:paraId="642A40B3" w14:textId="77777777" w:rsidR="00C035A3" w:rsidRPr="005F5FA3" w:rsidRDefault="00C035A3" w:rsidP="00397B6D">
            <w:pPr>
              <w:jc w:val="both"/>
              <w:rPr>
                <w:rFonts w:ascii="PermianSerifTypeface" w:hAnsi="PermianSerifTypeface" w:cs="Times New Roman"/>
                <w:sz w:val="20"/>
                <w:szCs w:val="20"/>
                <w:lang w:val="ro-MD"/>
              </w:rPr>
            </w:pPr>
            <w:r w:rsidRPr="005F5FA3">
              <w:rPr>
                <w:rFonts w:ascii="PermianSerifTypeface" w:hAnsi="PermianSerifTypeface" w:cs="Times New Roman"/>
                <w:sz w:val="20"/>
                <w:szCs w:val="20"/>
                <w:lang w:val="ro-MD"/>
              </w:rPr>
              <w:t xml:space="preserve">0,2% din valoarea tranzacției decontate </w:t>
            </w:r>
          </w:p>
        </w:tc>
        <w:tc>
          <w:tcPr>
            <w:tcW w:w="3544" w:type="dxa"/>
          </w:tcPr>
          <w:p w14:paraId="4400FF26" w14:textId="77777777" w:rsidR="00C035A3" w:rsidRPr="005F5FA3" w:rsidRDefault="00C035A3" w:rsidP="00397B6D">
            <w:pPr>
              <w:jc w:val="both"/>
              <w:rPr>
                <w:rFonts w:ascii="PermianSerifTypeface" w:hAnsi="PermianSerifTypeface" w:cs="Times New Roman"/>
                <w:sz w:val="20"/>
                <w:szCs w:val="20"/>
                <w:lang w:val="ro-MD"/>
              </w:rPr>
            </w:pPr>
            <w:r w:rsidRPr="005F5FA3">
              <w:rPr>
                <w:rFonts w:ascii="PermianSerifTypeface" w:hAnsi="PermianSerifTypeface" w:cs="Times New Roman"/>
                <w:sz w:val="20"/>
                <w:szCs w:val="20"/>
                <w:lang w:val="ro-MD"/>
              </w:rPr>
              <w:t>Comisionul se aplică participanților la Depozitarul central, care au efectuat tranzacția. Comisionul se percepe în mod egal (1/2 din valoarea comisionului) de la fiecare parte a tranzacției.</w:t>
            </w:r>
          </w:p>
        </w:tc>
      </w:tr>
      <w:tr w:rsidR="000244D3" w:rsidRPr="00B92F99" w14:paraId="08B0D614" w14:textId="77777777" w:rsidTr="005F5FA3">
        <w:tc>
          <w:tcPr>
            <w:tcW w:w="3398" w:type="dxa"/>
          </w:tcPr>
          <w:p w14:paraId="36BB351C" w14:textId="250D7794" w:rsidR="000244D3" w:rsidRPr="005F5FA3" w:rsidRDefault="00EC31D7" w:rsidP="00397B6D">
            <w:pPr>
              <w:pStyle w:val="ListParagraph"/>
              <w:numPr>
                <w:ilvl w:val="1"/>
                <w:numId w:val="5"/>
              </w:numPr>
              <w:tabs>
                <w:tab w:val="left" w:pos="455"/>
              </w:tabs>
              <w:spacing w:after="0" w:line="240" w:lineRule="auto"/>
              <w:ind w:left="447" w:hanging="447"/>
              <w:jc w:val="both"/>
              <w:rPr>
                <w:rFonts w:ascii="PermianSerifTypeface" w:hAnsi="PermianSerifTypeface" w:cs="Times New Roman"/>
                <w:sz w:val="20"/>
                <w:szCs w:val="20"/>
                <w:lang w:val="ro-MD"/>
              </w:rPr>
            </w:pPr>
            <w:r w:rsidRPr="005F5FA3">
              <w:rPr>
                <w:rFonts w:ascii="PermianSerifTypeface" w:hAnsi="PermianSerifTypeface" w:cs="Times New Roman"/>
                <w:sz w:val="20"/>
                <w:szCs w:val="20"/>
                <w:lang w:val="ro-MD"/>
              </w:rPr>
              <w:t>Comision pentru decontarea tranzacțiilor cu valori mobiliare de stat cu termen lung de circulație încheiate pe piața reglementată sau MTF</w:t>
            </w:r>
          </w:p>
        </w:tc>
        <w:tc>
          <w:tcPr>
            <w:tcW w:w="2414" w:type="dxa"/>
          </w:tcPr>
          <w:p w14:paraId="46F133C3" w14:textId="4766BF28" w:rsidR="000244D3" w:rsidRPr="005F5FA3" w:rsidRDefault="000244D3" w:rsidP="00397B6D">
            <w:pPr>
              <w:jc w:val="both"/>
              <w:rPr>
                <w:rFonts w:ascii="PermianSerifTypeface" w:hAnsi="PermianSerifTypeface" w:cs="Times New Roman"/>
                <w:sz w:val="20"/>
                <w:szCs w:val="20"/>
                <w:lang w:val="ro-MD"/>
              </w:rPr>
            </w:pPr>
            <w:r w:rsidRPr="005F5FA3">
              <w:rPr>
                <w:rFonts w:ascii="PermianSerifTypeface" w:hAnsi="PermianSerifTypeface" w:cs="Times New Roman"/>
                <w:sz w:val="20"/>
                <w:szCs w:val="20"/>
                <w:lang w:val="ro-MD"/>
              </w:rPr>
              <w:t>0,</w:t>
            </w:r>
            <w:r w:rsidR="008613B5" w:rsidRPr="005F5FA3">
              <w:rPr>
                <w:rFonts w:ascii="PermianSerifTypeface" w:hAnsi="PermianSerifTypeface" w:cs="Times New Roman"/>
                <w:sz w:val="20"/>
                <w:szCs w:val="20"/>
                <w:lang w:val="ro-MD"/>
              </w:rPr>
              <w:t>1</w:t>
            </w:r>
            <w:r w:rsidRPr="005F5FA3">
              <w:rPr>
                <w:rFonts w:ascii="PermianSerifTypeface" w:hAnsi="PermianSerifTypeface" w:cs="Times New Roman"/>
                <w:sz w:val="20"/>
                <w:szCs w:val="20"/>
                <w:lang w:val="ro-MD"/>
              </w:rPr>
              <w:t xml:space="preserve">% din valoarea tranzacției decontate </w:t>
            </w:r>
          </w:p>
        </w:tc>
        <w:tc>
          <w:tcPr>
            <w:tcW w:w="3544" w:type="dxa"/>
          </w:tcPr>
          <w:p w14:paraId="2E5B8959" w14:textId="7B5B5379" w:rsidR="000244D3" w:rsidRPr="005F5FA3" w:rsidRDefault="000244D3" w:rsidP="00397B6D">
            <w:pPr>
              <w:jc w:val="both"/>
              <w:rPr>
                <w:rFonts w:ascii="PermianSerifTypeface" w:hAnsi="PermianSerifTypeface" w:cs="Times New Roman"/>
                <w:sz w:val="20"/>
                <w:szCs w:val="20"/>
                <w:lang w:val="ro-MD"/>
              </w:rPr>
            </w:pPr>
            <w:r w:rsidRPr="005F5FA3">
              <w:rPr>
                <w:rFonts w:ascii="PermianSerifTypeface" w:hAnsi="PermianSerifTypeface" w:cs="Times New Roman"/>
                <w:sz w:val="20"/>
                <w:szCs w:val="20"/>
                <w:lang w:val="ro-MD"/>
              </w:rPr>
              <w:t>Comisionul se aplică participanților la Depozitarul central, care au efectuat tranzacția. Comisionul se percepe în mod egal (1/2 din valoarea comisionului) de la fiecare parte a tranzacției.</w:t>
            </w:r>
          </w:p>
        </w:tc>
      </w:tr>
      <w:tr w:rsidR="000244D3" w:rsidRPr="00B92F99" w14:paraId="1437B92E" w14:textId="77777777" w:rsidTr="005F5FA3">
        <w:tc>
          <w:tcPr>
            <w:tcW w:w="3398" w:type="dxa"/>
          </w:tcPr>
          <w:p w14:paraId="0834207E" w14:textId="3D47D986" w:rsidR="004F7D2A" w:rsidRPr="005F5FA3" w:rsidRDefault="000244D3" w:rsidP="004F7D2A">
            <w:pPr>
              <w:pStyle w:val="ListParagraph"/>
              <w:numPr>
                <w:ilvl w:val="1"/>
                <w:numId w:val="5"/>
              </w:numPr>
              <w:tabs>
                <w:tab w:val="left" w:pos="455"/>
              </w:tabs>
              <w:spacing w:after="0" w:line="240" w:lineRule="auto"/>
              <w:ind w:left="447" w:hanging="447"/>
              <w:jc w:val="both"/>
              <w:rPr>
                <w:rFonts w:ascii="PermianSerifTypeface" w:hAnsi="PermianSerifTypeface" w:cs="Times New Roman"/>
                <w:sz w:val="20"/>
                <w:szCs w:val="20"/>
                <w:lang w:val="ro-MD"/>
              </w:rPr>
            </w:pPr>
            <w:r w:rsidRPr="005F5FA3">
              <w:rPr>
                <w:rFonts w:ascii="PermianSerifTypeface" w:hAnsi="PermianSerifTypeface" w:cs="Times New Roman"/>
                <w:sz w:val="20"/>
                <w:szCs w:val="20"/>
                <w:lang w:val="ro-MD"/>
              </w:rPr>
              <w:t>Comision pentru decontarea tranzacțiilor REPO</w:t>
            </w:r>
          </w:p>
        </w:tc>
        <w:tc>
          <w:tcPr>
            <w:tcW w:w="2414" w:type="dxa"/>
          </w:tcPr>
          <w:p w14:paraId="52CF40DD" w14:textId="7C84902F" w:rsidR="000244D3" w:rsidRPr="005F5FA3" w:rsidRDefault="000244D3" w:rsidP="00397B6D">
            <w:pPr>
              <w:jc w:val="both"/>
              <w:rPr>
                <w:rFonts w:ascii="PermianSerifTypeface" w:hAnsi="PermianSerifTypeface" w:cs="Times New Roman"/>
                <w:sz w:val="20"/>
                <w:szCs w:val="20"/>
                <w:lang w:val="ro-MD"/>
              </w:rPr>
            </w:pPr>
            <w:r w:rsidRPr="005F5FA3">
              <w:rPr>
                <w:rFonts w:ascii="PermianSerifTypeface" w:hAnsi="PermianSerifTypeface" w:cs="Times New Roman"/>
                <w:sz w:val="20"/>
                <w:szCs w:val="20"/>
                <w:lang w:val="ro-MD"/>
              </w:rPr>
              <w:t>0,06% din valoarea tranzacției decontate</w:t>
            </w:r>
            <w:r w:rsidRPr="005F5FA3" w:rsidDel="003F29E1">
              <w:rPr>
                <w:rFonts w:ascii="PermianSerifTypeface" w:hAnsi="PermianSerifTypeface" w:cs="Times New Roman"/>
                <w:sz w:val="20"/>
                <w:szCs w:val="20"/>
                <w:lang w:val="ro-MD"/>
              </w:rPr>
              <w:t xml:space="preserve"> </w:t>
            </w:r>
          </w:p>
        </w:tc>
        <w:tc>
          <w:tcPr>
            <w:tcW w:w="3544" w:type="dxa"/>
          </w:tcPr>
          <w:p w14:paraId="73F835E0" w14:textId="141F170E" w:rsidR="000244D3" w:rsidRPr="005F5FA3" w:rsidRDefault="000244D3" w:rsidP="00397B6D">
            <w:pPr>
              <w:jc w:val="both"/>
              <w:rPr>
                <w:rFonts w:ascii="PermianSerifTypeface" w:hAnsi="PermianSerifTypeface" w:cs="Times New Roman"/>
                <w:sz w:val="20"/>
                <w:szCs w:val="20"/>
                <w:lang w:val="ro-MD"/>
              </w:rPr>
            </w:pPr>
            <w:r w:rsidRPr="005F5FA3">
              <w:rPr>
                <w:rFonts w:ascii="PermianSerifTypeface" w:hAnsi="PermianSerifTypeface" w:cs="Times New Roman"/>
                <w:sz w:val="20"/>
                <w:szCs w:val="20"/>
                <w:lang w:val="ro-MD"/>
              </w:rPr>
              <w:t>Comisionul se aplică participanților la Depozitarul central, care au efectuat tranzacția. Comisionul se percepe în mod egal (1/2 din valoarea comisionului) de la fiecare parte a tranzacției, la ambele etape a</w:t>
            </w:r>
            <w:r w:rsidR="00680657">
              <w:rPr>
                <w:rFonts w:ascii="PermianSerifTypeface" w:hAnsi="PermianSerifTypeface" w:cs="Times New Roman"/>
                <w:sz w:val="20"/>
                <w:szCs w:val="20"/>
                <w:lang w:val="ro-MD"/>
              </w:rPr>
              <w:t>le</w:t>
            </w:r>
            <w:r w:rsidRPr="005F5FA3">
              <w:rPr>
                <w:rFonts w:ascii="PermianSerifTypeface" w:hAnsi="PermianSerifTypeface" w:cs="Times New Roman"/>
                <w:sz w:val="20"/>
                <w:szCs w:val="20"/>
                <w:lang w:val="ro-MD"/>
              </w:rPr>
              <w:t xml:space="preserve"> tranzacției REPO.</w:t>
            </w:r>
          </w:p>
        </w:tc>
      </w:tr>
    </w:tbl>
    <w:p w14:paraId="58346E09" w14:textId="59C996F2" w:rsidR="00B3448A" w:rsidRPr="002E623C" w:rsidRDefault="00B3448A" w:rsidP="004F7D2A">
      <w:pPr>
        <w:spacing w:before="120" w:after="120" w:line="240" w:lineRule="auto"/>
        <w:ind w:left="378"/>
        <w:jc w:val="both"/>
        <w:rPr>
          <w:rFonts w:ascii="PermianSerifTypeface" w:hAnsi="PermianSerifTypeface" w:cs="Times New Roman"/>
          <w:lang w:val="ro-MD"/>
        </w:rPr>
      </w:pPr>
      <w:r w:rsidRPr="002E623C">
        <w:rPr>
          <w:rFonts w:ascii="PermianSerifTypeface" w:hAnsi="PermianSerifTypeface" w:cs="Times New Roman"/>
          <w:lang w:val="ro-MD"/>
        </w:rPr>
        <w:t>”</w:t>
      </w:r>
    </w:p>
    <w:p w14:paraId="46AE105C" w14:textId="66B451CC" w:rsidR="009B62D1" w:rsidRPr="00A55362" w:rsidRDefault="009B62D1" w:rsidP="003E1ACC">
      <w:pPr>
        <w:pStyle w:val="ListParagraph"/>
        <w:numPr>
          <w:ilvl w:val="0"/>
          <w:numId w:val="1"/>
        </w:numPr>
        <w:ind w:left="0" w:firstLine="426"/>
        <w:jc w:val="both"/>
        <w:rPr>
          <w:rFonts w:ascii="PermianSerifTypeface" w:hAnsi="PermianSerifTypeface"/>
          <w:lang w:val="ro-MD"/>
        </w:rPr>
      </w:pPr>
      <w:r w:rsidRPr="00A55362">
        <w:rPr>
          <w:rFonts w:ascii="PermianSerifTypeface" w:hAnsi="PermianSerifTypeface"/>
          <w:lang w:val="ro-MD"/>
        </w:rPr>
        <w:t>Prezenta hotărâre se publică pe pagina oficială a Băncii Naționale a Moldovei și se comunică Depozitarului central</w:t>
      </w:r>
      <w:r w:rsidR="009E3FB0">
        <w:rPr>
          <w:rFonts w:ascii="PermianSerifTypeface" w:hAnsi="PermianSerifTypeface"/>
          <w:lang w:val="ro-MD"/>
        </w:rPr>
        <w:t xml:space="preserve"> </w:t>
      </w:r>
      <w:r w:rsidR="009E3FB0" w:rsidRPr="00B92F99">
        <w:rPr>
          <w:rFonts w:ascii="PermianSerifTypeface" w:eastAsia="Times New Roman" w:hAnsi="PermianSerifTypeface" w:cs="Times New Roman"/>
          <w:bCs/>
          <w:color w:val="000000"/>
          <w:lang w:val="ro-MD"/>
        </w:rPr>
        <w:t>unic al valorilor mobiliare</w:t>
      </w:r>
      <w:r w:rsidRPr="00A55362">
        <w:rPr>
          <w:rFonts w:ascii="PermianSerifTypeface" w:hAnsi="PermianSerifTypeface"/>
          <w:lang w:val="ro-MD"/>
        </w:rPr>
        <w:t>.</w:t>
      </w:r>
    </w:p>
    <w:p w14:paraId="1681EDB2" w14:textId="2D104998" w:rsidR="00122953" w:rsidRPr="005F5FA3" w:rsidRDefault="009B62D1" w:rsidP="00A55362">
      <w:pPr>
        <w:pStyle w:val="ListParagraph"/>
        <w:numPr>
          <w:ilvl w:val="0"/>
          <w:numId w:val="1"/>
        </w:numPr>
        <w:ind w:left="0" w:firstLine="426"/>
        <w:jc w:val="both"/>
        <w:rPr>
          <w:lang w:val="ro-MD"/>
        </w:rPr>
      </w:pPr>
      <w:r w:rsidRPr="005F5FA3">
        <w:rPr>
          <w:rFonts w:ascii="PermianSerifTypeface" w:hAnsi="PermianSerifTypeface"/>
          <w:lang w:val="ro-MD"/>
        </w:rPr>
        <w:t>Prezenta</w:t>
      </w:r>
      <w:r w:rsidRPr="005F5FA3">
        <w:rPr>
          <w:rFonts w:ascii="PermianSansTypeface" w:hAnsi="PermianSansTypeface"/>
          <w:lang w:val="ro-RO"/>
        </w:rPr>
        <w:t xml:space="preserve"> hotărâre intră în vigoare la data adoptării.</w:t>
      </w:r>
    </w:p>
    <w:sectPr w:rsidR="00122953" w:rsidRPr="005F5FA3" w:rsidSect="00B3448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06312" w14:textId="77777777" w:rsidR="004078FF" w:rsidRDefault="004078FF" w:rsidP="00B3448A">
      <w:pPr>
        <w:spacing w:after="0" w:line="240" w:lineRule="auto"/>
      </w:pPr>
      <w:r>
        <w:separator/>
      </w:r>
    </w:p>
  </w:endnote>
  <w:endnote w:type="continuationSeparator" w:id="0">
    <w:p w14:paraId="77AE341F" w14:textId="77777777" w:rsidR="004078FF" w:rsidRDefault="004078FF" w:rsidP="00B34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rmian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PermianSansTypeface">
    <w:panose1 w:val="02000000000000000000"/>
    <w:charset w:val="00"/>
    <w:family w:val="modern"/>
    <w:notTrueType/>
    <w:pitch w:val="variable"/>
    <w:sig w:usb0="A000022F" w:usb1="4000A07A" w:usb2="00000000" w:usb3="00000000" w:csb0="000000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6A47C" w14:textId="55E5D0E1" w:rsidR="003E1ACC" w:rsidRDefault="003E1ACC" w:rsidP="003E1ACC">
    <w:pPr>
      <w:pStyle w:val="Footer"/>
    </w:pPr>
    <w:bookmarkStart w:id="2" w:name="TITUS1FooterEvenPages"/>
    <w:r w:rsidRPr="003E1ACC">
      <w:rPr>
        <w:color w:val="000000"/>
        <w:sz w:val="2"/>
      </w:rPr>
      <w:t> </w:t>
    </w:r>
    <w:bookmarkEnd w:id="2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02857" w14:textId="47DDD2F0" w:rsidR="003E1ACC" w:rsidRDefault="003E1ACC" w:rsidP="003E1ACC">
    <w:pPr>
      <w:pStyle w:val="Footer"/>
    </w:pPr>
    <w:bookmarkStart w:id="3" w:name="TITUS1FooterPrimary"/>
    <w:r w:rsidRPr="003E1ACC">
      <w:rPr>
        <w:color w:val="000000"/>
        <w:sz w:val="2"/>
      </w:rPr>
      <w:t> </w:t>
    </w:r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82E17" w14:textId="77777777" w:rsidR="003E1ACC" w:rsidRDefault="003E1A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956D4" w14:textId="77777777" w:rsidR="004078FF" w:rsidRDefault="004078FF" w:rsidP="00B3448A">
      <w:pPr>
        <w:spacing w:after="0" w:line="240" w:lineRule="auto"/>
      </w:pPr>
      <w:r>
        <w:separator/>
      </w:r>
    </w:p>
  </w:footnote>
  <w:footnote w:type="continuationSeparator" w:id="0">
    <w:p w14:paraId="24EE0FC0" w14:textId="77777777" w:rsidR="004078FF" w:rsidRDefault="004078FF" w:rsidP="00B34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16EE1" w14:textId="4B0AAA8D" w:rsidR="00B3448A" w:rsidRPr="003E1ACC" w:rsidRDefault="003E1ACC" w:rsidP="003E1ACC">
    <w:pPr>
      <w:pStyle w:val="Header"/>
    </w:pPr>
    <w:bookmarkStart w:id="0" w:name="TITUS1HeaderEvenPages"/>
    <w:r w:rsidRPr="003E1ACC">
      <w:rPr>
        <w:color w:val="000000"/>
        <w:sz w:val="2"/>
      </w:rPr>
      <w:t> </w:t>
    </w:r>
    <w:bookmarkEnd w:id="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DECB2" w14:textId="046A3DFC" w:rsidR="00B3448A" w:rsidRPr="003E1ACC" w:rsidRDefault="003E1ACC" w:rsidP="003E1ACC">
    <w:pPr>
      <w:pStyle w:val="Header"/>
    </w:pPr>
    <w:bookmarkStart w:id="1" w:name="TITUS1HeaderPrimary"/>
    <w:r w:rsidRPr="003E1ACC">
      <w:rPr>
        <w:color w:val="000000"/>
        <w:sz w:val="2"/>
      </w:rPr>
      <w:t> </w:t>
    </w:r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833E6" w14:textId="77777777" w:rsidR="003E1ACC" w:rsidRDefault="003E1A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60666"/>
    <w:multiLevelType w:val="hybridMultilevel"/>
    <w:tmpl w:val="82BAA1F8"/>
    <w:lvl w:ilvl="0" w:tplc="10A84222">
      <w:start w:val="1"/>
      <w:numFmt w:val="decimal"/>
      <w:pStyle w:val="Punct"/>
      <w:lvlText w:val="%1."/>
      <w:lvlJc w:val="left"/>
      <w:pPr>
        <w:ind w:left="720" w:hanging="360"/>
      </w:pPr>
      <w:rPr>
        <w:rFonts w:cs="Times New Roman" w:hint="default"/>
        <w:b/>
        <w:sz w:val="22"/>
        <w:szCs w:val="22"/>
      </w:rPr>
    </w:lvl>
    <w:lvl w:ilvl="1" w:tplc="36E42416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D63A3"/>
    <w:multiLevelType w:val="multilevel"/>
    <w:tmpl w:val="A0AC4FA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A8F1D63"/>
    <w:multiLevelType w:val="hybridMultilevel"/>
    <w:tmpl w:val="92C2CACE"/>
    <w:lvl w:ilvl="0" w:tplc="CDD4C094">
      <w:start w:val="1"/>
      <w:numFmt w:val="lowerLetter"/>
      <w:lvlText w:val="%1)"/>
      <w:lvlJc w:val="left"/>
      <w:pPr>
        <w:ind w:left="815" w:hanging="360"/>
      </w:pPr>
      <w:rPr>
        <w:rFonts w:hint="default"/>
      </w:rPr>
    </w:lvl>
    <w:lvl w:ilvl="1" w:tplc="08180001">
      <w:start w:val="1"/>
      <w:numFmt w:val="bullet"/>
      <w:lvlText w:val=""/>
      <w:lvlJc w:val="left"/>
      <w:pPr>
        <w:ind w:left="1535" w:hanging="360"/>
      </w:pPr>
      <w:rPr>
        <w:rFonts w:ascii="Symbol" w:hAnsi="Symbol" w:hint="default"/>
      </w:rPr>
    </w:lvl>
    <w:lvl w:ilvl="2" w:tplc="0818001B" w:tentative="1">
      <w:start w:val="1"/>
      <w:numFmt w:val="lowerRoman"/>
      <w:lvlText w:val="%3."/>
      <w:lvlJc w:val="right"/>
      <w:pPr>
        <w:ind w:left="2255" w:hanging="180"/>
      </w:pPr>
    </w:lvl>
    <w:lvl w:ilvl="3" w:tplc="0818000F" w:tentative="1">
      <w:start w:val="1"/>
      <w:numFmt w:val="decimal"/>
      <w:lvlText w:val="%4."/>
      <w:lvlJc w:val="left"/>
      <w:pPr>
        <w:ind w:left="2975" w:hanging="360"/>
      </w:pPr>
    </w:lvl>
    <w:lvl w:ilvl="4" w:tplc="08180019" w:tentative="1">
      <w:start w:val="1"/>
      <w:numFmt w:val="lowerLetter"/>
      <w:lvlText w:val="%5."/>
      <w:lvlJc w:val="left"/>
      <w:pPr>
        <w:ind w:left="3695" w:hanging="360"/>
      </w:pPr>
    </w:lvl>
    <w:lvl w:ilvl="5" w:tplc="0818001B" w:tentative="1">
      <w:start w:val="1"/>
      <w:numFmt w:val="lowerRoman"/>
      <w:lvlText w:val="%6."/>
      <w:lvlJc w:val="right"/>
      <w:pPr>
        <w:ind w:left="4415" w:hanging="180"/>
      </w:pPr>
    </w:lvl>
    <w:lvl w:ilvl="6" w:tplc="0818000F" w:tentative="1">
      <w:start w:val="1"/>
      <w:numFmt w:val="decimal"/>
      <w:lvlText w:val="%7."/>
      <w:lvlJc w:val="left"/>
      <w:pPr>
        <w:ind w:left="5135" w:hanging="360"/>
      </w:pPr>
    </w:lvl>
    <w:lvl w:ilvl="7" w:tplc="08180019" w:tentative="1">
      <w:start w:val="1"/>
      <w:numFmt w:val="lowerLetter"/>
      <w:lvlText w:val="%8."/>
      <w:lvlJc w:val="left"/>
      <w:pPr>
        <w:ind w:left="5855" w:hanging="360"/>
      </w:pPr>
    </w:lvl>
    <w:lvl w:ilvl="8" w:tplc="0818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3" w15:restartNumberingAfterBreak="0">
    <w:nsid w:val="3F6420E0"/>
    <w:multiLevelType w:val="hybridMultilevel"/>
    <w:tmpl w:val="92C2CACE"/>
    <w:lvl w:ilvl="0" w:tplc="CDD4C094">
      <w:start w:val="1"/>
      <w:numFmt w:val="lowerLetter"/>
      <w:lvlText w:val="%1)"/>
      <w:lvlJc w:val="left"/>
      <w:pPr>
        <w:ind w:left="815" w:hanging="360"/>
      </w:pPr>
      <w:rPr>
        <w:rFonts w:hint="default"/>
      </w:rPr>
    </w:lvl>
    <w:lvl w:ilvl="1" w:tplc="08180001">
      <w:start w:val="1"/>
      <w:numFmt w:val="bullet"/>
      <w:lvlText w:val=""/>
      <w:lvlJc w:val="left"/>
      <w:pPr>
        <w:ind w:left="1535" w:hanging="360"/>
      </w:pPr>
      <w:rPr>
        <w:rFonts w:ascii="Symbol" w:hAnsi="Symbol" w:hint="default"/>
      </w:rPr>
    </w:lvl>
    <w:lvl w:ilvl="2" w:tplc="0818001B" w:tentative="1">
      <w:start w:val="1"/>
      <w:numFmt w:val="lowerRoman"/>
      <w:lvlText w:val="%3."/>
      <w:lvlJc w:val="right"/>
      <w:pPr>
        <w:ind w:left="2255" w:hanging="180"/>
      </w:pPr>
    </w:lvl>
    <w:lvl w:ilvl="3" w:tplc="0818000F" w:tentative="1">
      <w:start w:val="1"/>
      <w:numFmt w:val="decimal"/>
      <w:lvlText w:val="%4."/>
      <w:lvlJc w:val="left"/>
      <w:pPr>
        <w:ind w:left="2975" w:hanging="360"/>
      </w:pPr>
    </w:lvl>
    <w:lvl w:ilvl="4" w:tplc="08180019" w:tentative="1">
      <w:start w:val="1"/>
      <w:numFmt w:val="lowerLetter"/>
      <w:lvlText w:val="%5."/>
      <w:lvlJc w:val="left"/>
      <w:pPr>
        <w:ind w:left="3695" w:hanging="360"/>
      </w:pPr>
    </w:lvl>
    <w:lvl w:ilvl="5" w:tplc="0818001B" w:tentative="1">
      <w:start w:val="1"/>
      <w:numFmt w:val="lowerRoman"/>
      <w:lvlText w:val="%6."/>
      <w:lvlJc w:val="right"/>
      <w:pPr>
        <w:ind w:left="4415" w:hanging="180"/>
      </w:pPr>
    </w:lvl>
    <w:lvl w:ilvl="6" w:tplc="0818000F" w:tentative="1">
      <w:start w:val="1"/>
      <w:numFmt w:val="decimal"/>
      <w:lvlText w:val="%7."/>
      <w:lvlJc w:val="left"/>
      <w:pPr>
        <w:ind w:left="5135" w:hanging="360"/>
      </w:pPr>
    </w:lvl>
    <w:lvl w:ilvl="7" w:tplc="08180019" w:tentative="1">
      <w:start w:val="1"/>
      <w:numFmt w:val="lowerLetter"/>
      <w:lvlText w:val="%8."/>
      <w:lvlJc w:val="left"/>
      <w:pPr>
        <w:ind w:left="5855" w:hanging="360"/>
      </w:pPr>
    </w:lvl>
    <w:lvl w:ilvl="8" w:tplc="0818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4" w15:restartNumberingAfterBreak="0">
    <w:nsid w:val="41730C49"/>
    <w:multiLevelType w:val="multilevel"/>
    <w:tmpl w:val="EB7ECE9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5" w15:restartNumberingAfterBreak="0">
    <w:nsid w:val="796D23B0"/>
    <w:multiLevelType w:val="hybridMultilevel"/>
    <w:tmpl w:val="7146F612"/>
    <w:lvl w:ilvl="0" w:tplc="B100CDD8">
      <w:start w:val="1"/>
      <w:numFmt w:val="decimal"/>
      <w:lvlText w:val="%1."/>
      <w:lvlJc w:val="left"/>
      <w:pPr>
        <w:ind w:left="720" w:hanging="360"/>
      </w:pPr>
      <w:rPr>
        <w:rFonts w:ascii="PermianSerifTypeface" w:hAnsi="PermianSerifTypeface" w:hint="default"/>
        <w:b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4513761">
    <w:abstractNumId w:val="5"/>
  </w:num>
  <w:num w:numId="2" w16cid:durableId="594482322">
    <w:abstractNumId w:val="2"/>
  </w:num>
  <w:num w:numId="3" w16cid:durableId="1762215885">
    <w:abstractNumId w:val="3"/>
  </w:num>
  <w:num w:numId="4" w16cid:durableId="1307513214">
    <w:abstractNumId w:val="1"/>
  </w:num>
  <w:num w:numId="5" w16cid:durableId="1499610031">
    <w:abstractNumId w:val="4"/>
  </w:num>
  <w:num w:numId="6" w16cid:durableId="143738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48A"/>
    <w:rsid w:val="000244D3"/>
    <w:rsid w:val="00122953"/>
    <w:rsid w:val="00154C6F"/>
    <w:rsid w:val="00236CFB"/>
    <w:rsid w:val="002E623C"/>
    <w:rsid w:val="00397B6D"/>
    <w:rsid w:val="003E1ACC"/>
    <w:rsid w:val="00406FA1"/>
    <w:rsid w:val="004078FF"/>
    <w:rsid w:val="004F7D2A"/>
    <w:rsid w:val="00567823"/>
    <w:rsid w:val="005D0630"/>
    <w:rsid w:val="005F5FA3"/>
    <w:rsid w:val="00680657"/>
    <w:rsid w:val="00721172"/>
    <w:rsid w:val="007E75E5"/>
    <w:rsid w:val="008613B5"/>
    <w:rsid w:val="008A2C86"/>
    <w:rsid w:val="008F7623"/>
    <w:rsid w:val="009650EE"/>
    <w:rsid w:val="009B62D1"/>
    <w:rsid w:val="009E3FB0"/>
    <w:rsid w:val="00A55362"/>
    <w:rsid w:val="00AD0C60"/>
    <w:rsid w:val="00AF7F1F"/>
    <w:rsid w:val="00B3448A"/>
    <w:rsid w:val="00B92F99"/>
    <w:rsid w:val="00BB01B2"/>
    <w:rsid w:val="00C035A3"/>
    <w:rsid w:val="00D04B78"/>
    <w:rsid w:val="00D33CEF"/>
    <w:rsid w:val="00D91642"/>
    <w:rsid w:val="00E477AA"/>
    <w:rsid w:val="00EC31D7"/>
    <w:rsid w:val="00F74D84"/>
    <w:rsid w:val="00FE3869"/>
    <w:rsid w:val="00FE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C03A718"/>
  <w15:chartTrackingRefBased/>
  <w15:docId w15:val="{35D0079A-1B9D-40F9-AB5A-440EFC528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48A"/>
    <w:rPr>
      <w:lang w:val="en-US"/>
    </w:rPr>
  </w:style>
  <w:style w:type="paragraph" w:styleId="Heading1">
    <w:name w:val="heading 1"/>
    <w:basedOn w:val="Normal"/>
    <w:next w:val="Normal"/>
    <w:link w:val="Heading1Char"/>
    <w:qFormat/>
    <w:rsid w:val="00F74D84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sz w:val="32"/>
      <w:szCs w:val="32"/>
      <w:lang w:val="ro-RO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D84"/>
    <w:pPr>
      <w:keepNext/>
      <w:keepLines/>
      <w:spacing w:before="40" w:after="0" w:line="240" w:lineRule="auto"/>
      <w:outlineLvl w:val="1"/>
    </w:pPr>
    <w:rPr>
      <w:rFonts w:ascii="PermianSerifTypeface" w:eastAsiaTheme="majorEastAsia" w:hAnsi="PermianSerifTypeface" w:cstheme="majorBidi"/>
      <w:szCs w:val="2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D84"/>
    <w:rPr>
      <w:rFonts w:asciiTheme="majorHAnsi" w:eastAsiaTheme="majorEastAsia" w:hAnsiTheme="majorHAnsi" w:cstheme="majorBidi"/>
      <w:sz w:val="32"/>
      <w:szCs w:val="32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D84"/>
    <w:rPr>
      <w:rFonts w:ascii="PermianSerifTypeface" w:eastAsiaTheme="majorEastAsia" w:hAnsi="PermianSerifTypeface" w:cstheme="majorBidi"/>
      <w:szCs w:val="26"/>
      <w:lang w:val="ro-RO"/>
    </w:rPr>
  </w:style>
  <w:style w:type="paragraph" w:styleId="ListParagraph">
    <w:name w:val="List Paragraph"/>
    <w:basedOn w:val="Normal"/>
    <w:link w:val="ListParagraphChar"/>
    <w:uiPriority w:val="34"/>
    <w:qFormat/>
    <w:rsid w:val="00B3448A"/>
    <w:pPr>
      <w:ind w:left="720"/>
      <w:contextualSpacing/>
    </w:pPr>
  </w:style>
  <w:style w:type="character" w:customStyle="1" w:styleId="1">
    <w:name w:val="Заголовок №1_"/>
    <w:link w:val="10"/>
    <w:rsid w:val="00B3448A"/>
    <w:rPr>
      <w:rFonts w:ascii="Arial" w:hAnsi="Arial"/>
      <w:sz w:val="26"/>
      <w:szCs w:val="26"/>
      <w:shd w:val="clear" w:color="auto" w:fill="FFFFFF"/>
    </w:rPr>
  </w:style>
  <w:style w:type="paragraph" w:customStyle="1" w:styleId="10">
    <w:name w:val="Заголовок №1"/>
    <w:basedOn w:val="Normal"/>
    <w:link w:val="1"/>
    <w:rsid w:val="00B3448A"/>
    <w:pPr>
      <w:widowControl w:val="0"/>
      <w:shd w:val="clear" w:color="auto" w:fill="FFFFFF"/>
      <w:spacing w:before="240" w:after="0" w:line="240" w:lineRule="atLeast"/>
      <w:outlineLvl w:val="0"/>
    </w:pPr>
    <w:rPr>
      <w:rFonts w:ascii="Arial" w:hAnsi="Arial"/>
      <w:sz w:val="26"/>
      <w:szCs w:val="26"/>
      <w:lang w:val="ro-MD"/>
    </w:rPr>
  </w:style>
  <w:style w:type="table" w:styleId="TableGrid">
    <w:name w:val="Table Grid"/>
    <w:basedOn w:val="TableNormal"/>
    <w:rsid w:val="00B344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B3448A"/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B344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48A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344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48A"/>
    <w:rPr>
      <w:lang w:val="en-US"/>
    </w:rPr>
  </w:style>
  <w:style w:type="paragraph" w:styleId="Revision">
    <w:name w:val="Revision"/>
    <w:hidden/>
    <w:uiPriority w:val="99"/>
    <w:semiHidden/>
    <w:rsid w:val="009B62D1"/>
    <w:pPr>
      <w:spacing w:after="0" w:line="240" w:lineRule="auto"/>
    </w:pPr>
    <w:rPr>
      <w:lang w:val="en-US"/>
    </w:rPr>
  </w:style>
  <w:style w:type="paragraph" w:styleId="BodyText2">
    <w:name w:val="Body Text 2"/>
    <w:basedOn w:val="Normal"/>
    <w:link w:val="BodyText2Char"/>
    <w:rsid w:val="009B62D1"/>
    <w:pPr>
      <w:spacing w:after="0" w:line="240" w:lineRule="auto"/>
      <w:jc w:val="center"/>
    </w:pPr>
    <w:rPr>
      <w:rFonts w:ascii="Times New Roman" w:eastAsia="Times New Roman" w:hAnsi="Times New Roman" w:cs="Times New Roman"/>
      <w:bCs/>
      <w:sz w:val="28"/>
      <w:szCs w:val="28"/>
      <w:lang w:val="ro-RO"/>
    </w:rPr>
  </w:style>
  <w:style w:type="character" w:customStyle="1" w:styleId="BodyText2Char">
    <w:name w:val="Body Text 2 Char"/>
    <w:basedOn w:val="DefaultParagraphFont"/>
    <w:link w:val="BodyText2"/>
    <w:rsid w:val="009B62D1"/>
    <w:rPr>
      <w:rFonts w:ascii="Times New Roman" w:eastAsia="Times New Roman" w:hAnsi="Times New Roman" w:cs="Times New Roman"/>
      <w:bCs/>
      <w:sz w:val="28"/>
      <w:szCs w:val="28"/>
      <w:lang w:val="ro-RO"/>
    </w:rPr>
  </w:style>
  <w:style w:type="paragraph" w:customStyle="1" w:styleId="Punct">
    <w:name w:val="Punct"/>
    <w:basedOn w:val="ListParagraph"/>
    <w:link w:val="PunctChar"/>
    <w:qFormat/>
    <w:rsid w:val="009B62D1"/>
    <w:pPr>
      <w:keepNext/>
      <w:keepLines/>
      <w:widowControl w:val="0"/>
      <w:numPr>
        <w:numId w:val="6"/>
      </w:numPr>
      <w:tabs>
        <w:tab w:val="left" w:pos="1134"/>
      </w:tabs>
      <w:spacing w:before="120" w:after="0" w:line="240" w:lineRule="auto"/>
      <w:contextualSpacing w:val="0"/>
      <w:jc w:val="both"/>
      <w:outlineLvl w:val="0"/>
    </w:pPr>
    <w:rPr>
      <w:rFonts w:ascii="Times New Roman" w:eastAsia="Courier New" w:hAnsi="Times New Roman" w:cs="Times New Roman"/>
      <w:color w:val="000000"/>
      <w:sz w:val="24"/>
      <w:szCs w:val="24"/>
      <w:lang w:val="ro-MD" w:eastAsia="ro-RO"/>
    </w:rPr>
  </w:style>
  <w:style w:type="character" w:customStyle="1" w:styleId="PunctChar">
    <w:name w:val="Punct Char"/>
    <w:link w:val="Punct"/>
    <w:rsid w:val="009B62D1"/>
    <w:rPr>
      <w:rFonts w:ascii="Times New Roman" w:eastAsia="Courier New" w:hAnsi="Times New Roman" w:cs="Times New Roman"/>
      <w:color w:val="000000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1DE26496F2884EBE11023844D12F6B" ma:contentTypeVersion="2" ma:contentTypeDescription="Create a new document." ma:contentTypeScope="" ma:versionID="13b79a535c973d14935c8b6677a58343">
  <xsd:schema xmlns:xsd="http://www.w3.org/2001/XMLSchema" xmlns:xs="http://www.w3.org/2001/XMLSchema" xmlns:p="http://schemas.microsoft.com/office/2006/metadata/properties" xmlns:ns3="58f9947b-01d2-4e13-830e-99bef3ae09ac" targetNamespace="http://schemas.microsoft.com/office/2006/metadata/properties" ma:root="true" ma:fieldsID="a7eda87eb322462a3ae3714cb4e2c2bf" ns3:_="">
    <xsd:import namespace="58f9947b-01d2-4e13-830e-99bef3ae09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9947b-01d2-4e13-830e-99bef3ae0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59A421-12F5-4C70-A5AA-83F1A003F4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16DB1C-C4FB-4ED2-A855-6458D846A9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9947b-01d2-4e13-830e-99bef3ae09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73F71C-D8FF-4BC5-B258-1BFCE20C30F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1099</TotalTime>
  <Pages>1</Pages>
  <Words>377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Banca Nationala a Moldovei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 D. Grate</dc:creator>
  <cp:keywords/>
  <dc:description/>
  <cp:lastModifiedBy>Ruslan D. Grate</cp:lastModifiedBy>
  <cp:revision>31</cp:revision>
  <cp:lastPrinted>2023-05-25T13:48:00Z</cp:lastPrinted>
  <dcterms:created xsi:type="dcterms:W3CDTF">2023-04-28T04:43:00Z</dcterms:created>
  <dcterms:modified xsi:type="dcterms:W3CDTF">2023-05-25T15:10:00Z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3cad2bd7-8cd7-4e2f-bcf4-5fad74e3b6c9</vt:lpwstr>
  </property>
  <property fmtid="{D5CDD505-2E9C-101B-9397-08002B2CF9AE}" pid="3" name="ContentTypeId">
    <vt:lpwstr>0x010100BF1DE26496F2884EBE11023844D12F6B</vt:lpwstr>
  </property>
  <property fmtid="{D5CDD505-2E9C-101B-9397-08002B2CF9AE}" pid="4" name="check">
    <vt:lpwstr>NONE</vt:lpwstr>
  </property>
  <property fmtid="{D5CDD505-2E9C-101B-9397-08002B2CF9AE}" pid="5" name="Clasificare">
    <vt:lpwstr>NONE</vt:lpwstr>
  </property>
</Properties>
</file>